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721" w:rsidRDefault="00F2721B">
      <w:pPr>
        <w:rPr>
          <w:rFonts w:ascii="Arial Bold" w:eastAsia="Arial Bold" w:hAnsi="Arial Bold" w:cs="Arial Bold"/>
        </w:rPr>
      </w:pPr>
      <w:bookmarkStart w:id="0" w:name="_GoBack"/>
      <w:bookmarkEnd w:id="0"/>
      <w:r>
        <w:rPr>
          <w:rFonts w:ascii="Arial Bold"/>
        </w:rPr>
        <w:t>Primary Question</w:t>
      </w:r>
    </w:p>
    <w:p w:rsidR="00BE7721" w:rsidRDefault="00BE7721">
      <w:pPr>
        <w:rPr>
          <w:rFonts w:ascii="Arial Bold" w:eastAsia="Arial Bold" w:hAnsi="Arial Bold" w:cs="Arial Bold"/>
        </w:rPr>
      </w:pPr>
    </w:p>
    <w:p w:rsidR="00BE7721" w:rsidRDefault="00F06D19">
      <w:pPr>
        <w:pStyle w:val="ListParagraph"/>
        <w:numPr>
          <w:ilvl w:val="0"/>
          <w:numId w:val="3"/>
        </w:numPr>
        <w:tabs>
          <w:tab w:val="num" w:pos="720"/>
        </w:tabs>
        <w:ind w:hanging="360"/>
        <w:rPr>
          <w:color w:val="222222"/>
          <w:u w:color="222222"/>
          <w:shd w:val="clear" w:color="auto" w:fill="FFFFFF"/>
        </w:rPr>
      </w:pPr>
      <w:r>
        <w:rPr>
          <w:color w:val="222222"/>
          <w:u w:color="222222"/>
          <w:shd w:val="clear" w:color="auto" w:fill="FFFFFF"/>
        </w:rPr>
        <w:t>What are the member benefits and outcome measurements for CFUW in relationship to our mission for the resources (financial and human) invested in GWI?</w:t>
      </w:r>
    </w:p>
    <w:p w:rsidR="00BE7721" w:rsidRDefault="00BE7721">
      <w:pPr>
        <w:rPr>
          <w:color w:val="222222"/>
          <w:u w:color="222222"/>
          <w:shd w:val="clear" w:color="auto" w:fill="FFFFFF"/>
        </w:rPr>
      </w:pPr>
    </w:p>
    <w:p w:rsidR="00BE7721" w:rsidRDefault="00F06D19">
      <w:pPr>
        <w:rPr>
          <w:rFonts w:ascii="Arial Bold" w:eastAsia="Arial Bold" w:hAnsi="Arial Bold" w:cs="Arial Bold"/>
        </w:rPr>
      </w:pPr>
      <w:r>
        <w:rPr>
          <w:rFonts w:ascii="Arial Bold"/>
        </w:rPr>
        <w:t>Overall Approach and Methodology</w:t>
      </w:r>
    </w:p>
    <w:p w:rsidR="00BE7721" w:rsidRDefault="00BE7721">
      <w:pPr>
        <w:rPr>
          <w:rFonts w:ascii="Arial Bold" w:eastAsia="Arial Bold" w:hAnsi="Arial Bold" w:cs="Arial Bold"/>
        </w:rPr>
      </w:pPr>
    </w:p>
    <w:p w:rsidR="00BE7721" w:rsidRDefault="00F06D19">
      <w:r>
        <w:t xml:space="preserve">To obtain information supporting the answers to the primary questions, it is suggested that three (3) research modules be considered.   An analysis of the subsequent data, systematic formulating of conclusions and, the design of recommendations would follow. </w:t>
      </w:r>
    </w:p>
    <w:p w:rsidR="00BE7721" w:rsidRDefault="00BE7721"/>
    <w:p w:rsidR="00BE7721" w:rsidRDefault="00F06D19">
      <w:r>
        <w:t xml:space="preserve">Information gathering approaches and possible data sources are presented below.  More detail about Component #1 and #2 is provided in attachments. </w:t>
      </w:r>
    </w:p>
    <w:p w:rsidR="00BE7721" w:rsidRDefault="00BE7721"/>
    <w:p w:rsidR="00BE7721" w:rsidRDefault="00BE7721"/>
    <w:p w:rsidR="00BE7721" w:rsidRDefault="00F06D19">
      <w:pPr>
        <w:rPr>
          <w:rFonts w:ascii="Arial Bold" w:eastAsia="Arial Bold" w:hAnsi="Arial Bold" w:cs="Arial Bold"/>
        </w:rPr>
      </w:pPr>
      <w:r>
        <w:t xml:space="preserve">                 </w:t>
      </w:r>
      <w:r>
        <w:rPr>
          <w:rFonts w:ascii="Arial Bold"/>
        </w:rPr>
        <w:t>Research Module                                                                     Information Sources</w:t>
      </w:r>
    </w:p>
    <w:p w:rsidR="00BE7721" w:rsidRDefault="00F06D19">
      <w:r>
        <w:rPr>
          <w:noProof/>
        </w:rPr>
        <mc:AlternateContent>
          <mc:Choice Requires="wps">
            <w:drawing>
              <wp:anchor distT="0" distB="0" distL="0" distR="0" simplePos="0" relativeHeight="251662336" behindDoc="0" locked="0" layoutInCell="1" allowOverlap="1">
                <wp:simplePos x="0" y="0"/>
                <wp:positionH relativeFrom="column">
                  <wp:posOffset>3314700</wp:posOffset>
                </wp:positionH>
                <wp:positionV relativeFrom="line">
                  <wp:posOffset>122554</wp:posOffset>
                </wp:positionV>
                <wp:extent cx="2628900" cy="10287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628900" cy="1028700"/>
                        </a:xfrm>
                        <a:prstGeom prst="rect">
                          <a:avLst/>
                        </a:prstGeom>
                        <a:solidFill>
                          <a:srgbClr val="FFFFFF"/>
                        </a:solidFill>
                        <a:ln w="9525" cap="flat">
                          <a:solidFill>
                            <a:srgbClr val="000000"/>
                          </a:solidFill>
                          <a:prstDash val="solid"/>
                          <a:round/>
                        </a:ln>
                        <a:effectLst/>
                      </wps:spPr>
                      <wps:txbx>
                        <w:txbxContent>
                          <w:p w:rsidR="00BE7721" w:rsidRDefault="00F06D19">
                            <w:pPr>
                              <w:numPr>
                                <w:ilvl w:val="0"/>
                                <w:numId w:val="6"/>
                              </w:numPr>
                              <w:tabs>
                                <w:tab w:val="num" w:pos="360"/>
                              </w:tabs>
                              <w:ind w:left="360" w:hanging="360"/>
                              <w:rPr>
                                <w:rFonts w:eastAsia="Arial" w:hAnsi="Arial" w:cs="Arial"/>
                              </w:rPr>
                            </w:pPr>
                            <w:r>
                              <w:t>CFUW documents and files</w:t>
                            </w:r>
                          </w:p>
                          <w:p w:rsidR="00BE7721" w:rsidRDefault="00F06D19">
                            <w:pPr>
                              <w:numPr>
                                <w:ilvl w:val="0"/>
                                <w:numId w:val="7"/>
                              </w:numPr>
                              <w:tabs>
                                <w:tab w:val="num" w:pos="360"/>
                              </w:tabs>
                              <w:ind w:left="360" w:hanging="360"/>
                              <w:rPr>
                                <w:rFonts w:eastAsia="Arial" w:hAnsi="Arial" w:cs="Arial"/>
                              </w:rPr>
                            </w:pPr>
                            <w:r>
                              <w:t xml:space="preserve">Personal or telephone interviews with </w:t>
                            </w:r>
                            <w:r>
                              <w:rPr>
                                <w:rFonts w:ascii="Arial Unicode MS" w:hAnsi="Arial"/>
                              </w:rPr>
                              <w:t>‘</w:t>
                            </w:r>
                            <w:r>
                              <w:t>key stakeholders</w:t>
                            </w:r>
                            <w:r>
                              <w:rPr>
                                <w:rFonts w:ascii="Arial Unicode MS" w:hAnsi="Arial"/>
                              </w:rPr>
                              <w:t>’</w:t>
                            </w:r>
                            <w:r>
                              <w:rPr>
                                <w:rFonts w:ascii="Arial Unicode MS" w:hAnsi="Arial"/>
                              </w:rPr>
                              <w:t xml:space="preserve"> </w:t>
                            </w:r>
                            <w:r>
                              <w:rPr>
                                <w:rFonts w:ascii="Arial Unicode MS" w:hAnsi="Arial"/>
                              </w:rPr>
                              <w:t>–</w:t>
                            </w:r>
                            <w:r>
                              <w:rPr>
                                <w:rFonts w:ascii="Arial Unicode MS" w:hAnsi="Arial"/>
                              </w:rPr>
                              <w:t xml:space="preserve"> </w:t>
                            </w:r>
                            <w:r>
                              <w:t>individuals who have worked with this file, currently or in the past</w:t>
                            </w:r>
                          </w:p>
                        </w:txbxContent>
                      </wps:txbx>
                      <wps:bodyPr wrap="square" lIns="45719" tIns="45719" rIns="45719" bIns="45719" numCol="1" anchor="t">
                        <a:noAutofit/>
                      </wps:bodyPr>
                    </wps:wsp>
                  </a:graphicData>
                </a:graphic>
              </wp:anchor>
            </w:drawing>
          </mc:Choice>
          <mc:Fallback>
            <w:pict>
              <v:rect id="_x0000_s1026" style="visibility:visible;position:absolute;margin-left:261.0pt;margin-top:9.6pt;width:207.0pt;height:81.0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numPr>
                          <w:ilvl w:val="0"/>
                          <w:numId w:val="6"/>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CFUW documents and files</w:t>
                      </w:r>
                    </w:p>
                    <w:p>
                      <w:pPr>
                        <w:pStyle w:val="Normal"/>
                        <w:numPr>
                          <w:ilvl w:val="0"/>
                          <w:numId w:val="7"/>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 xml:space="preserve">Personal or telephone interviews with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key stakeholders</w:t>
                      </w:r>
                      <w:r>
                        <w:rPr>
                          <w:rFonts w:ascii="Arial Unicode MS" w:cs="Arial Unicode MS" w:hAnsi="Arial" w:eastAsia="Arial Unicode MS" w:hint="default"/>
                          <w:rtl w:val="0"/>
                          <w:lang w:val="en-US"/>
                        </w:rPr>
                        <w:t xml:space="preserve">’ – </w:t>
                      </w:r>
                      <w:r>
                        <w:rPr>
                          <w:rFonts w:ascii="Arial" w:cs="Arial Unicode MS" w:hAnsi="Arial Unicode MS" w:eastAsia="Arial Unicode MS"/>
                          <w:rtl w:val="0"/>
                          <w:lang w:val="en-US"/>
                        </w:rPr>
                        <w:t>individuals who have worked with this file, currently or in the past</w:t>
                      </w:r>
                    </w:p>
                  </w:txbxContent>
                </v:textbox>
                <w10:wrap type="none" side="bothSides" anchorx="text"/>
              </v:rect>
            </w:pict>
          </mc:Fallback>
        </mc:AlternateContent>
      </w:r>
      <w:r>
        <w:rPr>
          <w:noProof/>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line">
                  <wp:posOffset>122554</wp:posOffset>
                </wp:positionV>
                <wp:extent cx="2628900" cy="10287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628900" cy="1028700"/>
                        </a:xfrm>
                        <a:prstGeom prst="rect">
                          <a:avLst/>
                        </a:prstGeom>
                        <a:solidFill>
                          <a:srgbClr val="FFFFFF"/>
                        </a:solidFill>
                        <a:ln w="9525" cap="flat">
                          <a:solidFill>
                            <a:srgbClr val="000000"/>
                          </a:solidFill>
                          <a:prstDash val="solid"/>
                          <a:round/>
                        </a:ln>
                        <a:effectLst/>
                      </wps:spPr>
                      <wps:txbx>
                        <w:txbxContent>
                          <w:p w:rsidR="00BE7721" w:rsidRDefault="00F06D19">
                            <w:pPr>
                              <w:jc w:val="center"/>
                            </w:pPr>
                            <w:r>
                              <w:t xml:space="preserve">Component #1 </w:t>
                            </w:r>
                            <w:r>
                              <w:rPr>
                                <w:rFonts w:hAnsi="Arial"/>
                              </w:rPr>
                              <w:t xml:space="preserve">– </w:t>
                            </w:r>
                            <w:r>
                              <w:t>CFUW Based</w:t>
                            </w:r>
                          </w:p>
                          <w:p w:rsidR="00BE7721" w:rsidRDefault="00BE7721"/>
                          <w:p w:rsidR="00BE7721" w:rsidRDefault="00F06D19">
                            <w:r>
                              <w:t xml:space="preserve">Understanding the CFUW relationship with and expectations associated with the GWI. Review of CFUW HR contributions to </w:t>
                            </w:r>
                            <w:proofErr w:type="gramStart"/>
                            <w:r>
                              <w:t>GWI  and</w:t>
                            </w:r>
                            <w:proofErr w:type="gramEnd"/>
                            <w:r>
                              <w:t xml:space="preserve"> a c</w:t>
                            </w:r>
                            <w:r>
                              <w:rPr>
                                <w:color w:val="222222"/>
                                <w:u w:color="222222"/>
                              </w:rPr>
                              <w:t>ost benefit analysis</w:t>
                            </w:r>
                          </w:p>
                        </w:txbxContent>
                      </wps:txbx>
                      <wps:bodyPr wrap="square" lIns="45719" tIns="45719" rIns="45719" bIns="45719" numCol="1" anchor="t">
                        <a:noAutofit/>
                      </wps:bodyPr>
                    </wps:wsp>
                  </a:graphicData>
                </a:graphic>
              </wp:anchor>
            </w:drawing>
          </mc:Choice>
          <mc:Fallback>
            <w:pict>
              <v:rect id="_x0000_s1027" style="visibility:visible;position:absolute;margin-left:0.0pt;margin-top:9.6pt;width:207.0pt;height:81.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jc w:val="center"/>
                        <w:rPr>
                          <w:rtl w:val="0"/>
                        </w:rPr>
                      </w:pPr>
                      <w:r>
                        <w:rPr>
                          <w:rtl w:val="0"/>
                          <w:lang w:val="en-US"/>
                        </w:rPr>
                        <w:t xml:space="preserve">Component #1 </w:t>
                      </w:r>
                      <w:r>
                        <w:rPr>
                          <w:rFonts w:hAnsi="Arial" w:hint="default"/>
                          <w:rtl w:val="0"/>
                          <w:lang w:val="en-US"/>
                        </w:rPr>
                        <w:t xml:space="preserve">– </w:t>
                      </w:r>
                      <w:r>
                        <w:rPr>
                          <w:rtl w:val="0"/>
                          <w:lang w:val="en-US"/>
                        </w:rPr>
                        <w:t>CFUW Based</w:t>
                      </w:r>
                    </w:p>
                    <w:p>
                      <w:pPr>
                        <w:pStyle w:val="Normal"/>
                        <w:rPr>
                          <w:rtl w:val="0"/>
                        </w:rPr>
                      </w:pPr>
                    </w:p>
                    <w:p>
                      <w:pPr>
                        <w:pStyle w:val="Normal"/>
                      </w:pPr>
                      <w:r>
                        <w:rPr>
                          <w:rFonts w:ascii="Arial" w:cs="Arial Unicode MS" w:hAnsi="Arial Unicode MS" w:eastAsia="Arial Unicode MS"/>
                          <w:rtl w:val="0"/>
                          <w:lang w:val="en-US"/>
                        </w:rPr>
                        <w:t>Understanding the CFUW relationship with and expectations associated with the GWI. Review of CFUW HR contributions to GWI  and a c</w:t>
                      </w:r>
                      <w:r>
                        <w:rPr>
                          <w:rFonts w:ascii="Arial" w:cs="Arial Unicode MS" w:hAnsi="Arial Unicode MS" w:eastAsia="Arial Unicode MS"/>
                          <w:color w:val="222222"/>
                          <w:u w:color="222222"/>
                          <w:rtl w:val="0"/>
                          <w:lang w:val="en-US"/>
                        </w:rPr>
                        <w:t>ost benefit analysis</w:t>
                      </w:r>
                    </w:p>
                  </w:txbxContent>
                </v:textbox>
                <w10:wrap type="none" side="bothSides" anchorx="text"/>
              </v:rect>
            </w:pict>
          </mc:Fallback>
        </mc:AlternateContent>
      </w:r>
    </w:p>
    <w:p w:rsidR="00BE7721" w:rsidRDefault="00F06D19">
      <w:r>
        <w:rPr>
          <w:noProof/>
        </w:rPr>
        <mc:AlternateContent>
          <mc:Choice Requires="wps">
            <w:drawing>
              <wp:anchor distT="0" distB="0" distL="0" distR="0" simplePos="0" relativeHeight="251666432" behindDoc="0" locked="0" layoutInCell="1" allowOverlap="1">
                <wp:simplePos x="0" y="0"/>
                <wp:positionH relativeFrom="column">
                  <wp:posOffset>2633662</wp:posOffset>
                </wp:positionH>
                <wp:positionV relativeFrom="line">
                  <wp:posOffset>44926</wp:posOffset>
                </wp:positionV>
                <wp:extent cx="685800"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8" style="visibility:visible;position:absolute;margin-left:207.4pt;margin-top:3.5pt;width:54.0pt;height:0.0pt;z-index:251666432;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p>
    <w:p w:rsidR="00BE7721" w:rsidRDefault="00BE7721"/>
    <w:p w:rsidR="00BE7721" w:rsidRDefault="00BE7721"/>
    <w:p w:rsidR="00BE7721" w:rsidRDefault="00BE7721"/>
    <w:p w:rsidR="00BE7721" w:rsidRDefault="00F06D19">
      <w:r>
        <w:rPr>
          <w:noProof/>
        </w:rPr>
        <mc:AlternateContent>
          <mc:Choice Requires="wps">
            <w:drawing>
              <wp:anchor distT="0" distB="0" distL="0" distR="0" simplePos="0" relativeHeight="251668480" behindDoc="0" locked="0" layoutInCell="1" allowOverlap="1">
                <wp:simplePos x="0" y="0"/>
                <wp:positionH relativeFrom="column">
                  <wp:posOffset>2633662</wp:posOffset>
                </wp:positionH>
                <wp:positionV relativeFrom="line">
                  <wp:posOffset>2203926</wp:posOffset>
                </wp:positionV>
                <wp:extent cx="685800"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29" style="visibility:visible;position:absolute;margin-left:207.4pt;margin-top:173.5pt;width:54.0pt;height:0.0pt;z-index:251668480;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67456" behindDoc="0" locked="0" layoutInCell="1" allowOverlap="1">
                <wp:simplePos x="0" y="0"/>
                <wp:positionH relativeFrom="column">
                  <wp:posOffset>2633662</wp:posOffset>
                </wp:positionH>
                <wp:positionV relativeFrom="line">
                  <wp:posOffset>832326</wp:posOffset>
                </wp:positionV>
                <wp:extent cx="685800"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a:solidFill>
                            <a:srgbClr val="000000"/>
                          </a:solidFill>
                          <a:prstDash val="solid"/>
                          <a:round/>
                          <a:tailEnd type="triangle" w="med" len="med"/>
                        </a:ln>
                        <a:effectLst/>
                      </wps:spPr>
                      <wps:bodyPr/>
                    </wps:wsp>
                  </a:graphicData>
                </a:graphic>
              </wp:anchor>
            </w:drawing>
          </mc:Choice>
          <mc:Fallback>
            <w:pict>
              <v:line id="_x0000_s1030" style="visibility:visible;position:absolute;margin-left:207.4pt;margin-top:65.5pt;width:54.0pt;height:0.0pt;z-index:251667456;mso-position-horizontal:absolute;mso-position-horizontal-relative:text;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block" endarrowwidth="medium" endarrowlength="medium"/>
                <w10:wrap type="none" side="bothSides" anchorx="text"/>
              </v:line>
            </w:pict>
          </mc:Fallback>
        </mc:AlternateContent>
      </w:r>
      <w:r>
        <w:rPr>
          <w:noProof/>
        </w:rPr>
        <mc:AlternateContent>
          <mc:Choice Requires="wps">
            <w:drawing>
              <wp:anchor distT="0" distB="0" distL="0" distR="0" simplePos="0" relativeHeight="251660288" behindDoc="0" locked="0" layoutInCell="1" allowOverlap="1" wp14:anchorId="3B2D2DFA" wp14:editId="4F49ACA8">
                <wp:simplePos x="0" y="0"/>
                <wp:positionH relativeFrom="column">
                  <wp:posOffset>0</wp:posOffset>
                </wp:positionH>
                <wp:positionV relativeFrom="line">
                  <wp:posOffset>758190</wp:posOffset>
                </wp:positionV>
                <wp:extent cx="2628900" cy="9652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2628900" cy="965200"/>
                        </a:xfrm>
                        <a:prstGeom prst="rect">
                          <a:avLst/>
                        </a:prstGeom>
                        <a:solidFill>
                          <a:srgbClr val="FFFFFF"/>
                        </a:solidFill>
                        <a:ln w="9525" cap="flat">
                          <a:solidFill>
                            <a:srgbClr val="000000"/>
                          </a:solidFill>
                          <a:prstDash val="solid"/>
                          <a:round/>
                        </a:ln>
                        <a:effectLst/>
                      </wps:spPr>
                      <wps:txbx>
                        <w:txbxContent>
                          <w:p w:rsidR="00BE7721" w:rsidRDefault="00F06D19">
                            <w:pPr>
                              <w:jc w:val="center"/>
                            </w:pPr>
                            <w:r>
                              <w:t xml:space="preserve">Component #2 </w:t>
                            </w:r>
                            <w:r>
                              <w:rPr>
                                <w:rFonts w:hAnsi="Arial"/>
                              </w:rPr>
                              <w:t xml:space="preserve">– </w:t>
                            </w:r>
                            <w:r>
                              <w:t>GWI Based</w:t>
                            </w:r>
                          </w:p>
                          <w:p w:rsidR="00BE7721" w:rsidRDefault="00BE7721"/>
                          <w:p w:rsidR="00BE7721" w:rsidRDefault="00F06D19">
                            <w:r>
                              <w:t xml:space="preserve">Identifying the activities, outputs and results of the GWI </w:t>
                            </w:r>
                          </w:p>
                        </w:txbxContent>
                      </wps:txbx>
                      <wps:bodyPr wrap="square" lIns="45719" tIns="45719" rIns="45719" bIns="45719" numCol="1" anchor="t">
                        <a:noAutofit/>
                      </wps:bodyPr>
                    </wps:wsp>
                  </a:graphicData>
                </a:graphic>
              </wp:anchor>
            </w:drawing>
          </mc:Choice>
          <mc:Fallback>
            <w:pict>
              <v:rect w14:anchorId="3B2D2DFA" id="_x0000_s1028" style="position:absolute;margin-left:0;margin-top:59.7pt;width:207pt;height:76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">
                <v:stroke joinstyle="round"/>
                <v:textbox inset="1.27mm,1.27mm,1.27mm,1.27mm">
                  <w:txbxContent>
                    <w:p w:rsidR="00BE7721" w:rsidRDefault="00F06D19">
                      <w:pPr>
                        <w:jc w:val="center"/>
                      </w:pPr>
                      <w:r>
                        <w:t xml:space="preserve">Component #2 </w:t>
                      </w:r>
                      <w:r>
                        <w:rPr>
                          <w:rFonts w:hAnsi="Arial"/>
                        </w:rPr>
                        <w:t xml:space="preserve">– </w:t>
                      </w:r>
                      <w:r>
                        <w:t>GWI Based</w:t>
                      </w:r>
                    </w:p>
                    <w:p w:rsidR="00BE7721" w:rsidRDefault="00BE7721"/>
                    <w:p w:rsidR="00BE7721" w:rsidRDefault="00F06D19">
                      <w:r>
                        <w:t xml:space="preserve">Identifying the activities, outputs and results of the GWI </w:t>
                      </w:r>
                    </w:p>
                  </w:txbxContent>
                </v:textbox>
                <w10:wrap anchory="line"/>
              </v:rect>
            </w:pict>
          </mc:Fallback>
        </mc:AlternateContent>
      </w:r>
    </w:p>
    <w:p w:rsidR="00BE7721" w:rsidRDefault="00BE7721"/>
    <w:p w:rsidR="00BE7721" w:rsidRDefault="00BE7721"/>
    <w:p w:rsidR="00BE7721" w:rsidRDefault="00BE7721"/>
    <w:p w:rsidR="00BE7721" w:rsidRDefault="00BE7721"/>
    <w:p w:rsidR="00BE7721" w:rsidRDefault="00F06D19">
      <w:r>
        <w:rPr>
          <w:noProof/>
        </w:rPr>
        <mc:AlternateContent>
          <mc:Choice Requires="wps">
            <w:drawing>
              <wp:anchor distT="0" distB="0" distL="0" distR="0" simplePos="0" relativeHeight="251663360" behindDoc="0" locked="0" layoutInCell="1" allowOverlap="1" wp14:anchorId="587184E4" wp14:editId="16041332">
                <wp:simplePos x="0" y="0"/>
                <wp:positionH relativeFrom="column">
                  <wp:posOffset>3308985</wp:posOffset>
                </wp:positionH>
                <wp:positionV relativeFrom="line">
                  <wp:posOffset>31114</wp:posOffset>
                </wp:positionV>
                <wp:extent cx="2628900" cy="1100456"/>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2628900" cy="1100456"/>
                        </a:xfrm>
                        <a:prstGeom prst="rect">
                          <a:avLst/>
                        </a:prstGeom>
                        <a:solidFill>
                          <a:srgbClr val="FFFFFF"/>
                        </a:solidFill>
                        <a:ln w="9525" cap="flat">
                          <a:solidFill>
                            <a:srgbClr val="000000"/>
                          </a:solidFill>
                          <a:prstDash val="solid"/>
                          <a:round/>
                        </a:ln>
                        <a:effectLst/>
                      </wps:spPr>
                      <wps:txbx>
                        <w:txbxContent>
                          <w:p w:rsidR="00BE7721" w:rsidRDefault="00F06D19">
                            <w:pPr>
                              <w:numPr>
                                <w:ilvl w:val="0"/>
                                <w:numId w:val="16"/>
                              </w:numPr>
                              <w:tabs>
                                <w:tab w:val="num" w:pos="360"/>
                              </w:tabs>
                              <w:ind w:left="360" w:hanging="360"/>
                              <w:rPr>
                                <w:rFonts w:eastAsia="Arial" w:hAnsi="Arial" w:cs="Arial"/>
                              </w:rPr>
                            </w:pPr>
                            <w:r>
                              <w:t>GWI documents and publications</w:t>
                            </w:r>
                          </w:p>
                          <w:p w:rsidR="00BE7721" w:rsidRDefault="00F06D19">
                            <w:pPr>
                              <w:numPr>
                                <w:ilvl w:val="0"/>
                                <w:numId w:val="17"/>
                              </w:numPr>
                              <w:tabs>
                                <w:tab w:val="num" w:pos="360"/>
                              </w:tabs>
                              <w:ind w:left="360" w:hanging="360"/>
                              <w:rPr>
                                <w:rFonts w:eastAsia="Arial" w:hAnsi="Arial" w:cs="Arial"/>
                              </w:rPr>
                            </w:pPr>
                            <w:r>
                              <w:t>International publications; meeting reports; briefings</w:t>
                            </w:r>
                          </w:p>
                          <w:p w:rsidR="00BE7721" w:rsidRDefault="00F06D19">
                            <w:pPr>
                              <w:numPr>
                                <w:ilvl w:val="0"/>
                                <w:numId w:val="18"/>
                              </w:numPr>
                              <w:tabs>
                                <w:tab w:val="num" w:pos="360"/>
                              </w:tabs>
                              <w:ind w:left="360" w:hanging="360"/>
                              <w:rPr>
                                <w:rFonts w:eastAsia="Arial" w:hAnsi="Arial" w:cs="Arial"/>
                              </w:rPr>
                            </w:pPr>
                            <w:r>
                              <w:t xml:space="preserve">Interviews with </w:t>
                            </w:r>
                            <w:r>
                              <w:rPr>
                                <w:rFonts w:ascii="Arial Unicode MS" w:hAnsi="Arial"/>
                              </w:rPr>
                              <w:t>‘</w:t>
                            </w:r>
                            <w:r>
                              <w:t>key</w:t>
                            </w:r>
                            <w:r>
                              <w:rPr>
                                <w:rFonts w:ascii="Arial Unicode MS" w:hAnsi="Arial"/>
                              </w:rPr>
                              <w:t>’</w:t>
                            </w:r>
                            <w:r>
                              <w:rPr>
                                <w:rFonts w:ascii="Arial Unicode MS" w:hAnsi="Arial"/>
                              </w:rPr>
                              <w:t xml:space="preserve"> </w:t>
                            </w:r>
                            <w:r>
                              <w:t>informants</w:t>
                            </w:r>
                          </w:p>
                          <w:p w:rsidR="00BE7721" w:rsidRDefault="00F06D19">
                            <w:pPr>
                              <w:numPr>
                                <w:ilvl w:val="0"/>
                                <w:numId w:val="19"/>
                              </w:numPr>
                              <w:tabs>
                                <w:tab w:val="num" w:pos="360"/>
                              </w:tabs>
                              <w:ind w:left="360" w:hanging="360"/>
                              <w:rPr>
                                <w:rFonts w:eastAsia="Arial" w:hAnsi="Arial" w:cs="Arial"/>
                              </w:rPr>
                            </w:pPr>
                            <w:r>
                              <w:t>GWI to supply  the information as per Module 2</w:t>
                            </w:r>
                          </w:p>
                          <w:p w:rsidR="00BE7721" w:rsidRDefault="00BE7721"/>
                          <w:p w:rsidR="00BE7721" w:rsidRDefault="00F06D19">
                            <w:r>
                              <w:t xml:space="preserve"> Identifying the activities, outputs and results of the IFUW </w:t>
                            </w:r>
                          </w:p>
                        </w:txbxContent>
                      </wps:txbx>
                      <wps:bodyPr wrap="square" lIns="45719" tIns="45719" rIns="45719" bIns="45719" numCol="1" anchor="t">
                        <a:noAutofit/>
                      </wps:bodyPr>
                    </wps:wsp>
                  </a:graphicData>
                </a:graphic>
              </wp:anchor>
            </w:drawing>
          </mc:Choice>
          <mc:Fallback>
            <w:pict>
              <v:rect id="_x0000_s1033" style="visibility:visible;position:absolute;margin-left:260.5pt;margin-top:2.4pt;width:207.0pt;height:86.7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numPr>
                          <w:ilvl w:val="0"/>
                          <w:numId w:val="16"/>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GWI documents and publications</w:t>
                      </w:r>
                    </w:p>
                    <w:p>
                      <w:pPr>
                        <w:pStyle w:val="Normal"/>
                        <w:numPr>
                          <w:ilvl w:val="0"/>
                          <w:numId w:val="17"/>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International publications; meeting reports; briefings</w:t>
                      </w:r>
                    </w:p>
                    <w:p>
                      <w:pPr>
                        <w:pStyle w:val="Normal"/>
                        <w:numPr>
                          <w:ilvl w:val="0"/>
                          <w:numId w:val="18"/>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 xml:space="preserve">Interviews with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key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informants</w:t>
                      </w:r>
                    </w:p>
                    <w:p>
                      <w:pPr>
                        <w:pStyle w:val="Normal"/>
                        <w:numPr>
                          <w:ilvl w:val="0"/>
                          <w:numId w:val="19"/>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GWI to supply  the information as per Module 2</w:t>
                      </w:r>
                    </w:p>
                    <w:p>
                      <w:pPr>
                        <w:pStyle w:val="Normal"/>
                        <w:rPr>
                          <w:rtl w:val="0"/>
                        </w:rPr>
                      </w:pPr>
                    </w:p>
                    <w:p>
                      <w:pPr>
                        <w:pStyle w:val="Normal"/>
                      </w:pPr>
                      <w:r>
                        <w:rPr>
                          <w:rFonts w:ascii="Arial" w:cs="Arial Unicode MS" w:hAnsi="Arial Unicode MS" w:eastAsia="Arial Unicode MS"/>
                          <w:rtl w:val="0"/>
                          <w:lang w:val="en-US"/>
                        </w:rPr>
                        <w:t xml:space="preserve"> Identifying the activities, outputs and results of the IFUW </w:t>
                      </w:r>
                    </w:p>
                  </w:txbxContent>
                </v:textbox>
                <w10:wrap type="none" side="bothSides" anchorx="text"/>
              </v:rect>
            </w:pict>
          </mc:Fallback>
        </mc:AlternateContent>
      </w:r>
    </w:p>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772988">
      <w:r>
        <w:rPr>
          <w:noProof/>
        </w:rPr>
        <mc:AlternateContent>
          <mc:Choice Requires="wps">
            <w:drawing>
              <wp:anchor distT="0" distB="0" distL="0" distR="0" simplePos="0" relativeHeight="251661312" behindDoc="0" locked="0" layoutInCell="1" allowOverlap="1" wp14:anchorId="2D40B761" wp14:editId="26C7DA55">
                <wp:simplePos x="0" y="0"/>
                <wp:positionH relativeFrom="margin">
                  <wp:align>left</wp:align>
                </wp:positionH>
                <wp:positionV relativeFrom="line">
                  <wp:posOffset>85089</wp:posOffset>
                </wp:positionV>
                <wp:extent cx="2628900" cy="1800225"/>
                <wp:effectExtent l="0" t="0" r="19050" b="28575"/>
                <wp:wrapNone/>
                <wp:docPr id="1073741831" name="officeArt object"/>
                <wp:cNvGraphicFramePr/>
                <a:graphic xmlns:a="http://schemas.openxmlformats.org/drawingml/2006/main">
                  <a:graphicData uri="http://schemas.microsoft.com/office/word/2010/wordprocessingShape">
                    <wps:wsp>
                      <wps:cNvSpPr/>
                      <wps:spPr>
                        <a:xfrm>
                          <a:off x="0" y="0"/>
                          <a:ext cx="2628900" cy="1800225"/>
                        </a:xfrm>
                        <a:prstGeom prst="rect">
                          <a:avLst/>
                        </a:prstGeom>
                        <a:solidFill>
                          <a:srgbClr val="FFFFFF"/>
                        </a:solidFill>
                        <a:ln w="9525" cap="flat">
                          <a:solidFill>
                            <a:srgbClr val="000000"/>
                          </a:solidFill>
                          <a:prstDash val="solid"/>
                          <a:round/>
                        </a:ln>
                        <a:effectLst/>
                      </wps:spPr>
                      <wps:txbx>
                        <w:txbxContent>
                          <w:p w:rsidR="00BE7721" w:rsidRDefault="00F06D19">
                            <w:pPr>
                              <w:jc w:val="center"/>
                            </w:pPr>
                            <w:r>
                              <w:t xml:space="preserve">Component # 3 </w:t>
                            </w:r>
                            <w:r>
                              <w:rPr>
                                <w:rFonts w:hAnsi="Arial"/>
                              </w:rPr>
                              <w:t>–</w:t>
                            </w:r>
                            <w:r>
                              <w:t>GWI Funds</w:t>
                            </w:r>
                          </w:p>
                          <w:p w:rsidR="00BE7721" w:rsidRDefault="00BE7721"/>
                          <w:p w:rsidR="00BE7721" w:rsidRDefault="00F06D19">
                            <w:r>
                              <w:t xml:space="preserve"> Financial </w:t>
                            </w:r>
                          </w:p>
                          <w:p w:rsidR="00BE7721" w:rsidRDefault="00F06D19">
                            <w:pPr>
                              <w:pStyle w:val="ListParagraph"/>
                              <w:numPr>
                                <w:ilvl w:val="0"/>
                                <w:numId w:val="10"/>
                              </w:numPr>
                              <w:tabs>
                                <w:tab w:val="num" w:pos="360"/>
                              </w:tabs>
                              <w:ind w:left="360" w:hanging="360"/>
                            </w:pPr>
                            <w:r>
                              <w:t>Knowledge of how funds are spent</w:t>
                            </w:r>
                          </w:p>
                          <w:p w:rsidR="00BE7721" w:rsidRDefault="00F06D19">
                            <w:pPr>
                              <w:pStyle w:val="ListParagraph"/>
                              <w:numPr>
                                <w:ilvl w:val="0"/>
                                <w:numId w:val="11"/>
                              </w:numPr>
                              <w:tabs>
                                <w:tab w:val="num" w:pos="360"/>
                              </w:tabs>
                              <w:ind w:left="360" w:hanging="360"/>
                            </w:pPr>
                            <w:r>
                              <w:t>Knowledge of how the formula works</w:t>
                            </w:r>
                          </w:p>
                          <w:p w:rsidR="00BE7721" w:rsidRDefault="00F06D19">
                            <w:pPr>
                              <w:pStyle w:val="ListParagraph"/>
                              <w:numPr>
                                <w:ilvl w:val="0"/>
                                <w:numId w:val="12"/>
                              </w:numPr>
                              <w:tabs>
                                <w:tab w:val="num" w:pos="360"/>
                              </w:tabs>
                              <w:ind w:left="360" w:hanging="360"/>
                            </w:pPr>
                            <w:r>
                              <w:t>Determining if and where changes can be made w/respect to CFUW</w:t>
                            </w:r>
                            <w:r>
                              <w:rPr>
                                <w:rFonts w:hAnsi="Arial"/>
                              </w:rPr>
                              <w:t>’</w:t>
                            </w:r>
                            <w:r>
                              <w:t>s contributions</w:t>
                            </w:r>
                          </w:p>
                          <w:p w:rsidR="00BE7721" w:rsidRDefault="00F06D19">
                            <w:pPr>
                              <w:pStyle w:val="ListParagraph"/>
                              <w:numPr>
                                <w:ilvl w:val="0"/>
                                <w:numId w:val="13"/>
                              </w:numPr>
                              <w:tabs>
                                <w:tab w:val="num" w:pos="360"/>
                              </w:tabs>
                              <w:ind w:left="360" w:hanging="360"/>
                            </w:pPr>
                            <w:r>
                              <w:t>Exploring alternatives</w:t>
                            </w: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2D40B761" id="_x0000_s1030" style="position:absolute;margin-left:0;margin-top:6.7pt;width:207pt;height:141.75pt;z-index:251661312;visibility:visible;mso-wrap-style:square;mso-height-percent:0;mso-wrap-distance-left:0;mso-wrap-distance-top:0;mso-wrap-distance-right:0;mso-wrap-distance-bottom:0;mso-position-horizontal:left;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">
                <v:stroke joinstyle="round"/>
                <v:textbox inset="1.27mm,1.27mm,1.27mm,1.27mm">
                  <w:txbxContent>
                    <w:p w:rsidR="00BE7721" w:rsidRDefault="00F06D19">
                      <w:pPr>
                        <w:jc w:val="center"/>
                      </w:pPr>
                      <w:r>
                        <w:t xml:space="preserve">Component # 3 </w:t>
                      </w:r>
                      <w:r>
                        <w:rPr>
                          <w:rFonts w:hAnsi="Arial"/>
                        </w:rPr>
                        <w:t>–</w:t>
                      </w:r>
                      <w:r>
                        <w:t>GWI Funds</w:t>
                      </w:r>
                    </w:p>
                    <w:p w:rsidR="00BE7721" w:rsidRDefault="00BE7721"/>
                    <w:p w:rsidR="00BE7721" w:rsidRDefault="00F06D19">
                      <w:r>
                        <w:t xml:space="preserve"> Financial </w:t>
                      </w:r>
                    </w:p>
                    <w:p w:rsidR="00BE7721" w:rsidRDefault="00F06D19">
                      <w:pPr>
                        <w:pStyle w:val="ListParagraph"/>
                        <w:numPr>
                          <w:ilvl w:val="0"/>
                          <w:numId w:val="10"/>
                        </w:numPr>
                        <w:tabs>
                          <w:tab w:val="num" w:pos="360"/>
                        </w:tabs>
                        <w:ind w:left="360" w:hanging="360"/>
                      </w:pPr>
                      <w:r>
                        <w:t>Knowledge of how funds are spent</w:t>
                      </w:r>
                    </w:p>
                    <w:p w:rsidR="00BE7721" w:rsidRDefault="00F06D19">
                      <w:pPr>
                        <w:pStyle w:val="ListParagraph"/>
                        <w:numPr>
                          <w:ilvl w:val="0"/>
                          <w:numId w:val="11"/>
                        </w:numPr>
                        <w:tabs>
                          <w:tab w:val="num" w:pos="360"/>
                        </w:tabs>
                        <w:ind w:left="360" w:hanging="360"/>
                      </w:pPr>
                      <w:r>
                        <w:t>Knowledge of how the formula works</w:t>
                      </w:r>
                    </w:p>
                    <w:p w:rsidR="00BE7721" w:rsidRDefault="00F06D19">
                      <w:pPr>
                        <w:pStyle w:val="ListParagraph"/>
                        <w:numPr>
                          <w:ilvl w:val="0"/>
                          <w:numId w:val="12"/>
                        </w:numPr>
                        <w:tabs>
                          <w:tab w:val="num" w:pos="360"/>
                        </w:tabs>
                        <w:ind w:left="360" w:hanging="360"/>
                      </w:pPr>
                      <w:r>
                        <w:t xml:space="preserve">Determining if and where changes can </w:t>
                      </w:r>
                      <w:r>
                        <w:t>be made w/respect to CFUW</w:t>
                      </w:r>
                      <w:r>
                        <w:rPr>
                          <w:rFonts w:hAnsi="Arial"/>
                        </w:rPr>
                        <w:t>’</w:t>
                      </w:r>
                      <w:r>
                        <w:t>s contributions</w:t>
                      </w:r>
                    </w:p>
                    <w:p w:rsidR="00BE7721" w:rsidRDefault="00F06D19">
                      <w:pPr>
                        <w:pStyle w:val="ListParagraph"/>
                        <w:numPr>
                          <w:ilvl w:val="0"/>
                          <w:numId w:val="13"/>
                        </w:numPr>
                        <w:tabs>
                          <w:tab w:val="num" w:pos="360"/>
                        </w:tabs>
                        <w:ind w:left="360" w:hanging="360"/>
                      </w:pPr>
                      <w:r>
                        <w:t>Exploring alternatives</w:t>
                      </w:r>
                    </w:p>
                  </w:txbxContent>
                </v:textbox>
                <w10:wrap anchorx="margin" anchory="line"/>
              </v:rect>
            </w:pict>
          </mc:Fallback>
        </mc:AlternateContent>
      </w:r>
      <w:r w:rsidR="00F06D19">
        <w:rPr>
          <w:noProof/>
        </w:rPr>
        <mc:AlternateContent>
          <mc:Choice Requires="wps">
            <w:drawing>
              <wp:anchor distT="0" distB="0" distL="0" distR="0" simplePos="0" relativeHeight="251664384" behindDoc="0" locked="0" layoutInCell="1" allowOverlap="1">
                <wp:simplePos x="0" y="0"/>
                <wp:positionH relativeFrom="column">
                  <wp:posOffset>3352800</wp:posOffset>
                </wp:positionH>
                <wp:positionV relativeFrom="line">
                  <wp:posOffset>104140</wp:posOffset>
                </wp:positionV>
                <wp:extent cx="2628900" cy="195262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628900" cy="1952625"/>
                        </a:xfrm>
                        <a:prstGeom prst="rect">
                          <a:avLst/>
                        </a:prstGeom>
                        <a:solidFill>
                          <a:srgbClr val="FFFFFF"/>
                        </a:solidFill>
                        <a:ln w="9525" cap="flat">
                          <a:solidFill>
                            <a:srgbClr val="000000"/>
                          </a:solidFill>
                          <a:prstDash val="solid"/>
                          <a:round/>
                        </a:ln>
                        <a:effectLst/>
                      </wps:spPr>
                      <wps:txbx>
                        <w:txbxContent>
                          <w:p w:rsidR="00BE7721" w:rsidRDefault="00F06D19">
                            <w:pPr>
                              <w:numPr>
                                <w:ilvl w:val="0"/>
                                <w:numId w:val="22"/>
                              </w:numPr>
                              <w:tabs>
                                <w:tab w:val="num" w:pos="360"/>
                              </w:tabs>
                              <w:ind w:left="360" w:hanging="360"/>
                              <w:rPr>
                                <w:rFonts w:eastAsia="Arial" w:hAnsi="Arial" w:cs="Arial"/>
                              </w:rPr>
                            </w:pPr>
                            <w:r>
                              <w:t>CFUW and GWI documents and reports</w:t>
                            </w:r>
                          </w:p>
                          <w:p w:rsidR="00BE7721" w:rsidRDefault="00F06D19">
                            <w:pPr>
                              <w:numPr>
                                <w:ilvl w:val="0"/>
                                <w:numId w:val="23"/>
                              </w:numPr>
                              <w:tabs>
                                <w:tab w:val="num" w:pos="360"/>
                              </w:tabs>
                              <w:ind w:left="360" w:hanging="360"/>
                              <w:rPr>
                                <w:rFonts w:eastAsia="Arial" w:hAnsi="Arial" w:cs="Arial"/>
                              </w:rPr>
                            </w:pPr>
                            <w:r>
                              <w:t xml:space="preserve">Interviews with </w:t>
                            </w:r>
                            <w:r>
                              <w:rPr>
                                <w:rFonts w:ascii="Arial Unicode MS" w:hAnsi="Arial"/>
                              </w:rPr>
                              <w:t>‘</w:t>
                            </w:r>
                            <w:r>
                              <w:t>key</w:t>
                            </w:r>
                            <w:r>
                              <w:rPr>
                                <w:rFonts w:ascii="Arial Unicode MS" w:hAnsi="Arial"/>
                              </w:rPr>
                              <w:t>’</w:t>
                            </w:r>
                            <w:r>
                              <w:rPr>
                                <w:rFonts w:ascii="Arial Unicode MS" w:hAnsi="Arial"/>
                              </w:rPr>
                              <w:t xml:space="preserve"> </w:t>
                            </w:r>
                            <w:r>
                              <w:t xml:space="preserve">stakeholders </w:t>
                            </w:r>
                          </w:p>
                          <w:p w:rsidR="00BE7721" w:rsidRDefault="00F06D19">
                            <w:pPr>
                              <w:numPr>
                                <w:ilvl w:val="0"/>
                                <w:numId w:val="24"/>
                              </w:numPr>
                              <w:tabs>
                                <w:tab w:val="num" w:pos="360"/>
                              </w:tabs>
                              <w:ind w:left="360" w:hanging="360"/>
                              <w:rPr>
                                <w:rFonts w:eastAsia="Arial" w:hAnsi="Arial" w:cs="Arial"/>
                              </w:rPr>
                            </w:pPr>
                            <w:r>
                              <w:t xml:space="preserve">Audit reports </w:t>
                            </w:r>
                            <w:r>
                              <w:rPr>
                                <w:rFonts w:ascii="Arial Unicode MS" w:hAnsi="Arial"/>
                              </w:rPr>
                              <w:t>–</w:t>
                            </w:r>
                            <w:r>
                              <w:rPr>
                                <w:rFonts w:ascii="Arial Unicode MS" w:hAnsi="Arial"/>
                              </w:rPr>
                              <w:t xml:space="preserve"> </w:t>
                            </w:r>
                            <w:r>
                              <w:t>to determine where there are gaps</w:t>
                            </w:r>
                          </w:p>
                          <w:p w:rsidR="00BE7721" w:rsidRDefault="00F06D19">
                            <w:pPr>
                              <w:pStyle w:val="ListParagraph"/>
                              <w:numPr>
                                <w:ilvl w:val="0"/>
                                <w:numId w:val="25"/>
                              </w:numPr>
                              <w:tabs>
                                <w:tab w:val="num" w:pos="360"/>
                              </w:tabs>
                              <w:ind w:left="360" w:hanging="360"/>
                            </w:pPr>
                            <w:r>
                              <w:t>Discussions with other agencies who fund international organizations to determine alternative models</w:t>
                            </w:r>
                          </w:p>
                          <w:p w:rsidR="00BE7721" w:rsidRDefault="00F06D19">
                            <w:pPr>
                              <w:pStyle w:val="ListParagraph"/>
                              <w:numPr>
                                <w:ilvl w:val="0"/>
                                <w:numId w:val="26"/>
                              </w:numPr>
                              <w:tabs>
                                <w:tab w:val="num" w:pos="360"/>
                              </w:tabs>
                              <w:ind w:left="360" w:hanging="360"/>
                              <w:rPr>
                                <w:color w:val="222222"/>
                              </w:rPr>
                            </w:pPr>
                            <w:r>
                              <w:t>Discussion with other GWI affiliates to gather their perspectives</w:t>
                            </w:r>
                            <w:r>
                              <w:rPr>
                                <w:color w:val="222222"/>
                                <w:u w:color="222222"/>
                              </w:rPr>
                              <w:t xml:space="preserve"> and a global perspective that will allow effectively complete this evaluation</w:t>
                            </w:r>
                          </w:p>
                        </w:txbxContent>
                      </wps:txbx>
                      <wps:bodyPr wrap="square" lIns="45719" tIns="45719" rIns="45719" bIns="45719" numCol="1" anchor="t">
                        <a:noAutofit/>
                      </wps:bodyPr>
                    </wps:wsp>
                  </a:graphicData>
                </a:graphic>
              </wp:anchor>
            </w:drawing>
          </mc:Choice>
          <mc:Fallback>
            <w:pict>
              <v:rect id="_x0000_s1034" style="visibility:visible;position:absolute;margin-left:264.0pt;margin-top:8.2pt;width:207.0pt;height:153.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Normal"/>
                        <w:numPr>
                          <w:ilvl w:val="0"/>
                          <w:numId w:val="22"/>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CFUW and GWI documents and reports</w:t>
                      </w:r>
                    </w:p>
                    <w:p>
                      <w:pPr>
                        <w:pStyle w:val="Normal"/>
                        <w:numPr>
                          <w:ilvl w:val="0"/>
                          <w:numId w:val="23"/>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 xml:space="preserve">Interviews with </w:t>
                      </w:r>
                      <w:r>
                        <w:rPr>
                          <w:rFonts w:ascii="Arial Unicode MS" w:cs="Arial Unicode MS" w:hAnsi="Arial" w:eastAsia="Arial Unicode MS" w:hint="default"/>
                          <w:rtl w:val="0"/>
                          <w:lang w:val="en-US"/>
                        </w:rPr>
                        <w:t>‘</w:t>
                      </w:r>
                      <w:r>
                        <w:rPr>
                          <w:rFonts w:ascii="Arial" w:cs="Arial Unicode MS" w:hAnsi="Arial Unicode MS" w:eastAsia="Arial Unicode MS"/>
                          <w:rtl w:val="0"/>
                          <w:lang w:val="en-US"/>
                        </w:rPr>
                        <w:t>key</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 xml:space="preserve">stakeholders </w:t>
                      </w:r>
                    </w:p>
                    <w:p>
                      <w:pPr>
                        <w:pStyle w:val="Normal"/>
                        <w:numPr>
                          <w:ilvl w:val="0"/>
                          <w:numId w:val="24"/>
                        </w:numPr>
                        <w:tabs>
                          <w:tab w:val="num" w:pos="360"/>
                          <w:tab w:val="clear" w:pos="0"/>
                        </w:tabs>
                        <w:ind w:left="360" w:hanging="360"/>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Unicode MS" w:hAnsi="Arial Unicode MS" w:eastAsia="Arial Unicode MS"/>
                          <w:rtl w:val="0"/>
                          <w:lang w:val="en-US"/>
                        </w:rPr>
                        <w:t xml:space="preserve">Audit reports </w:t>
                      </w:r>
                      <w:r>
                        <w:rPr>
                          <w:rFonts w:ascii="Arial Unicode MS" w:cs="Arial Unicode MS" w:hAnsi="Arial" w:eastAsia="Arial Unicode MS" w:hint="default"/>
                          <w:rtl w:val="0"/>
                          <w:lang w:val="en-US"/>
                        </w:rPr>
                        <w:t xml:space="preserve">– </w:t>
                      </w:r>
                      <w:r>
                        <w:rPr>
                          <w:rFonts w:ascii="Arial" w:cs="Arial Unicode MS" w:hAnsi="Arial Unicode MS" w:eastAsia="Arial Unicode MS"/>
                          <w:rtl w:val="0"/>
                          <w:lang w:val="en-US"/>
                        </w:rPr>
                        <w:t>to determine where there are gaps</w:t>
                      </w:r>
                    </w:p>
                    <w:p>
                      <w:pPr>
                        <w:pStyle w:val="List Paragraph"/>
                        <w:numPr>
                          <w:ilvl w:val="0"/>
                          <w:numId w:val="25"/>
                        </w:numPr>
                        <w:tabs>
                          <w:tab w:val="num" w:pos="360"/>
                          <w:tab w:val="clear" w:pos="0"/>
                        </w:tabs>
                        <w:ind w:left="360" w:hanging="360"/>
                        <w:rPr>
                          <w:position w:val="0"/>
                          <w:sz w:val="20"/>
                          <w:szCs w:val="20"/>
                          <w:rtl w:val="0"/>
                        </w:rPr>
                      </w:pPr>
                      <w:r>
                        <w:rPr>
                          <w:rtl w:val="0"/>
                          <w:lang w:val="en-US"/>
                        </w:rPr>
                        <w:t>Discussions with other agencies who fund international organizations to determine alternative models</w:t>
                      </w:r>
                    </w:p>
                    <w:p>
                      <w:pPr>
                        <w:pStyle w:val="List Paragraph"/>
                        <w:numPr>
                          <w:ilvl w:val="0"/>
                          <w:numId w:val="26"/>
                        </w:numPr>
                        <w:tabs>
                          <w:tab w:val="num" w:pos="360"/>
                          <w:tab w:val="clear" w:pos="0"/>
                        </w:tabs>
                        <w:bidi w:val="0"/>
                        <w:ind w:left="360" w:right="0" w:hanging="360"/>
                        <w:jc w:val="left"/>
                        <w:rPr>
                          <w:color w:val="222222"/>
                          <w:position w:val="0"/>
                          <w:sz w:val="20"/>
                          <w:szCs w:val="20"/>
                          <w:rtl w:val="0"/>
                        </w:rPr>
                      </w:pPr>
                      <w:r>
                        <w:rPr>
                          <w:rFonts w:ascii="Arial"/>
                          <w:color w:val="000000"/>
                          <w:rtl w:val="0"/>
                          <w:lang w:val="en-US"/>
                        </w:rPr>
                        <w:t>Discussion with other GWI affiliates to gather their perspectives</w:t>
                      </w:r>
                      <w:r>
                        <w:rPr>
                          <w:rFonts w:ascii="Arial"/>
                          <w:color w:val="222222"/>
                          <w:u w:color="222222"/>
                          <w:rtl w:val="0"/>
                          <w:lang w:val="en-US"/>
                        </w:rPr>
                        <w:t xml:space="preserve"> and a global perspective that will allow effectively complete this evaluation</w:t>
                      </w:r>
                    </w:p>
                  </w:txbxContent>
                </v:textbox>
                <w10:wrap type="none" side="bothSides" anchorx="text"/>
              </v:rect>
            </w:pict>
          </mc:Fallback>
        </mc:AlternateContent>
      </w:r>
    </w:p>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BE7721"/>
    <w:p w:rsidR="00BE7721" w:rsidRDefault="00F06D19">
      <w:r>
        <w:rPr>
          <w:noProof/>
        </w:rPr>
        <mc:AlternateContent>
          <mc:Choice Requires="wps">
            <w:drawing>
              <wp:anchor distT="0" distB="0" distL="0" distR="0" simplePos="0" relativeHeight="251665408" behindDoc="0" locked="0" layoutInCell="1" allowOverlap="1">
                <wp:simplePos x="0" y="0"/>
                <wp:positionH relativeFrom="column">
                  <wp:posOffset>-5714</wp:posOffset>
                </wp:positionH>
                <wp:positionV relativeFrom="line">
                  <wp:posOffset>107314</wp:posOffset>
                </wp:positionV>
                <wp:extent cx="5943600" cy="57150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5943600" cy="571501"/>
                        </a:xfrm>
                        <a:prstGeom prst="rect">
                          <a:avLst/>
                        </a:prstGeom>
                        <a:solidFill>
                          <a:srgbClr val="FFFFFF"/>
                        </a:solidFill>
                        <a:ln w="12700" cap="flat">
                          <a:noFill/>
                          <a:miter lim="400000"/>
                        </a:ln>
                        <a:effectLst/>
                      </wps:spPr>
                      <wps:txbx>
                        <w:txbxContent>
                          <w:p w:rsidR="00BE7721" w:rsidRDefault="00F06D19">
                            <w:r>
                              <w:t xml:space="preserve">Following a systematic approach and sharing it with Clubs will allow for transparency of process and product. </w:t>
                            </w:r>
                          </w:p>
                        </w:txbxContent>
                      </wps:txbx>
                      <wps:bodyPr wrap="square" lIns="45719" tIns="45719" rIns="45719" bIns="45719" numCol="1" anchor="t">
                        <a:noAutofit/>
                      </wps:bodyPr>
                    </wps:wsp>
                  </a:graphicData>
                </a:graphic>
              </wp:anchor>
            </w:drawing>
          </mc:Choice>
          <mc:Fallback>
            <w:pict>
              <v:rect id="_x0000_s1035" style="visibility:visible;position:absolute;margin-left:-0.4pt;margin-top:8.4pt;width:468.0pt;height:45.0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Normal"/>
                      </w:pPr>
                      <w:r>
                        <w:rPr>
                          <w:rFonts w:ascii="Arial" w:cs="Arial Unicode MS" w:hAnsi="Arial Unicode MS" w:eastAsia="Arial Unicode MS"/>
                          <w:rtl w:val="0"/>
                          <w:lang w:val="en-US"/>
                        </w:rPr>
                        <w:t xml:space="preserve">Following a systematic approach and sharing it with Clubs will allow for transparency of process and product. </w:t>
                      </w:r>
                    </w:p>
                  </w:txbxContent>
                </v:textbox>
                <w10:wrap type="none" side="bothSides" anchorx="text"/>
              </v:rect>
            </w:pict>
          </mc:Fallback>
        </mc:AlternateContent>
      </w:r>
    </w:p>
    <w:p w:rsidR="00BE7721" w:rsidRDefault="00BE7721"/>
    <w:p w:rsidR="00BE7721" w:rsidRDefault="00BE7721"/>
    <w:p w:rsidR="00BE7721" w:rsidRDefault="00F06D19">
      <w:r>
        <w:br w:type="page"/>
      </w:r>
    </w:p>
    <w:p w:rsidR="00BE7721" w:rsidRPr="00B53178" w:rsidRDefault="00F06D19">
      <w:pPr>
        <w:rPr>
          <w:rFonts w:eastAsia="Arial Bold" w:hAnsi="Arial" w:cs="Arial"/>
        </w:rPr>
      </w:pPr>
      <w:r w:rsidRPr="00B53178">
        <w:rPr>
          <w:rFonts w:hAnsi="Arial" w:cs="Arial"/>
        </w:rPr>
        <w:lastRenderedPageBreak/>
        <w:t>Conduct of Evaluation</w:t>
      </w:r>
    </w:p>
    <w:p w:rsidR="00BE7721" w:rsidRPr="00B53178" w:rsidRDefault="00BE7721">
      <w:pPr>
        <w:rPr>
          <w:rFonts w:hAnsi="Arial" w:cs="Arial"/>
        </w:rPr>
      </w:pPr>
    </w:p>
    <w:p w:rsidR="00BE7721" w:rsidRPr="00B53178" w:rsidRDefault="00F06D19">
      <w:pPr>
        <w:rPr>
          <w:rFonts w:hAnsi="Arial" w:cs="Arial"/>
          <w:color w:val="222222"/>
          <w:u w:color="222222"/>
        </w:rPr>
      </w:pPr>
      <w:r w:rsidRPr="00B53178">
        <w:rPr>
          <w:rFonts w:hAnsi="Arial" w:cs="Arial"/>
        </w:rPr>
        <w:t>The terms of reference, framework and execution of the work will be under the aegis of the Board.</w:t>
      </w:r>
    </w:p>
    <w:p w:rsidR="00BE7721" w:rsidRPr="00B53178" w:rsidRDefault="00BE7721">
      <w:pPr>
        <w:rPr>
          <w:rFonts w:eastAsia="Arial Bold" w:hAnsi="Arial" w:cs="Arial"/>
          <w:u w:val="single"/>
        </w:rPr>
      </w:pPr>
    </w:p>
    <w:p w:rsidR="00BE7721" w:rsidRPr="00B53178" w:rsidRDefault="00F06D19">
      <w:pPr>
        <w:rPr>
          <w:rFonts w:eastAsia="Arial Bold" w:hAnsi="Arial" w:cs="Arial"/>
        </w:rPr>
      </w:pPr>
      <w:r w:rsidRPr="00B53178">
        <w:rPr>
          <w:rFonts w:hAnsi="Arial" w:cs="Arial"/>
        </w:rPr>
        <w:t>Timeframe</w:t>
      </w:r>
    </w:p>
    <w:p w:rsidR="00BE7721" w:rsidRPr="00B53178" w:rsidRDefault="00BE7721">
      <w:pPr>
        <w:rPr>
          <w:rFonts w:eastAsia="Arial Bold" w:hAnsi="Arial" w:cs="Arial"/>
          <w:u w:val="single"/>
        </w:rPr>
      </w:pPr>
    </w:p>
    <w:p w:rsidR="00BE7721" w:rsidRPr="00B53178" w:rsidRDefault="00F06D19">
      <w:pPr>
        <w:rPr>
          <w:rFonts w:hAnsi="Arial" w:cs="Arial"/>
        </w:rPr>
      </w:pPr>
      <w:r w:rsidRPr="00B53178">
        <w:rPr>
          <w:rFonts w:hAnsi="Arial" w:cs="Arial"/>
        </w:rPr>
        <w:t xml:space="preserve">May 2015: Review by Board of Framework for the evaluation. Publishing of the evaluation framework CFUW Administration website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 xml:space="preserve">June 2015: Presentation of this model to the CFUW AGM in June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August, 2015: Correspondence with GWI president to review the format of the work and to confirm GWI participation in supplying information. Request for GWI information to be supplied to CFUW by November 30, 2015</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August 2015:  Follow up communication with GWI ED</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 xml:space="preserve">August 2015: Decision on how to approach some of our GWI affiliations to learn more about their views on the dues and their level of satisfaction with GWI activities.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 xml:space="preserve">December 2015: Completion of the information gathering process re issues to identify and clarify the relationship and expectations that CFUW has with respect to GWI and the Clubs have in relation to CFUW’s activities.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December 20</w:t>
      </w:r>
      <w:r w:rsidR="00A2305C">
        <w:rPr>
          <w:rFonts w:hAnsi="Arial" w:cs="Arial"/>
        </w:rPr>
        <w:t>15: Interviews with up to five k</w:t>
      </w:r>
      <w:r w:rsidRPr="00B53178">
        <w:rPr>
          <w:rFonts w:hAnsi="Arial" w:cs="Arial"/>
        </w:rPr>
        <w:t>ey stakeholders issues to identify and clarify the relationship and expectations that CFUW has with respect to GWI</w:t>
      </w:r>
      <w:r w:rsidR="00A2305C" w:rsidRPr="00A2305C">
        <w:rPr>
          <w:rFonts w:ascii="Helvetica" w:hAnsi="Helvetica" w:cs="Helvetica"/>
          <w:shd w:val="clear" w:color="auto" w:fill="FFFFFF"/>
        </w:rPr>
        <w:t xml:space="preserve"> </w:t>
      </w:r>
      <w:r w:rsidR="00A2305C">
        <w:rPr>
          <w:rFonts w:ascii="Helvetica" w:hAnsi="Helvetica" w:cs="Helvetica"/>
          <w:shd w:val="clear" w:color="auto" w:fill="FFFFFF"/>
        </w:rPr>
        <w:t>may be identified and clarified</w:t>
      </w:r>
      <w:r w:rsidRPr="00B53178">
        <w:rPr>
          <w:rFonts w:hAnsi="Arial" w:cs="Arial"/>
        </w:rPr>
        <w:t xml:space="preserve">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January 2016: Analysis of GWI Information</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February 2016: Compilation of final report</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 xml:space="preserve">March 2016: Approval by Board of report </w:t>
      </w:r>
    </w:p>
    <w:p w:rsidR="00BE7721" w:rsidRPr="00B53178" w:rsidRDefault="00BE7721">
      <w:pPr>
        <w:rPr>
          <w:rFonts w:hAnsi="Arial" w:cs="Arial"/>
        </w:rPr>
      </w:pPr>
    </w:p>
    <w:p w:rsidR="00BE7721" w:rsidRPr="00B53178" w:rsidRDefault="00F06D19">
      <w:pPr>
        <w:rPr>
          <w:rFonts w:hAnsi="Arial" w:cs="Arial"/>
        </w:rPr>
      </w:pPr>
      <w:r w:rsidRPr="00B53178">
        <w:rPr>
          <w:rFonts w:hAnsi="Arial" w:cs="Arial"/>
        </w:rPr>
        <w:t>April 15, 2016: Distribution of evaluation report to Clubs</w:t>
      </w:r>
    </w:p>
    <w:p w:rsidR="00BE7721" w:rsidRPr="00B53178" w:rsidRDefault="00BE7721">
      <w:pPr>
        <w:rPr>
          <w:rFonts w:hAnsi="Arial" w:cs="Arial"/>
        </w:rPr>
      </w:pPr>
    </w:p>
    <w:p w:rsidR="00BE7721" w:rsidRDefault="00F06D19">
      <w:pPr>
        <w:rPr>
          <w:rFonts w:hAnsi="Arial" w:cs="Arial"/>
        </w:rPr>
      </w:pPr>
      <w:r w:rsidRPr="00B53178">
        <w:rPr>
          <w:rFonts w:hAnsi="Arial" w:cs="Arial"/>
        </w:rPr>
        <w:t>June 2016: Plenary on GWI evaluation process at the 2016 AGM</w:t>
      </w:r>
    </w:p>
    <w:p w:rsidR="00A2305C" w:rsidRDefault="00A2305C">
      <w:pPr>
        <w:rPr>
          <w:rFonts w:hAnsi="Arial" w:cs="Arial"/>
        </w:rPr>
      </w:pPr>
    </w:p>
    <w:sectPr w:rsidR="00A2305C">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DDE" w:rsidRDefault="00642DDE">
      <w:r>
        <w:separator/>
      </w:r>
    </w:p>
  </w:endnote>
  <w:endnote w:type="continuationSeparator" w:id="0">
    <w:p w:rsidR="00642DDE" w:rsidRDefault="00642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21" w:rsidRDefault="00F06D19">
    <w:pPr>
      <w:pStyle w:val="Footer"/>
      <w:tabs>
        <w:tab w:val="clear" w:pos="9360"/>
        <w:tab w:val="right" w:pos="9340"/>
      </w:tabs>
      <w:jc w:val="right"/>
    </w:pPr>
    <w:r>
      <w:rPr>
        <w:i/>
        <w:iCs/>
        <w:noProof/>
        <w:sz w:val="16"/>
        <w:szCs w:val="16"/>
        <w:lang w:eastAsia="en-US"/>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808080"/>
                      </a:solidFill>
                      <a:ln w="12700" cap="flat">
                        <a:noFill/>
                        <a:miter lim="400000"/>
                      </a:ln>
                      <a:effectLst/>
                    </wps:spPr>
                    <wps:bodyPr/>
                  </wps:wsp>
                </a:graphicData>
              </a:graphic>
            </wp:inline>
          </w:drawing>
        </mc:Choice>
        <mc:Fallback>
          <w:pict>
            <v:rect id="_x0000_s1036" style="visibility:visible;width:468.0pt;height:1.5pt;">
              <v:fill color="#80808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DDE" w:rsidRDefault="00642DDE">
      <w:r>
        <w:separator/>
      </w:r>
    </w:p>
  </w:footnote>
  <w:footnote w:type="continuationSeparator" w:id="0">
    <w:p w:rsidR="00642DDE" w:rsidRDefault="00642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21" w:rsidRDefault="00F06D19">
    <w:pPr>
      <w:jc w:val="center"/>
    </w:pPr>
    <w:r>
      <w:rPr>
        <w:rFonts w:ascii="Arial Bold"/>
        <w:sz w:val="22"/>
        <w:szCs w:val="22"/>
      </w:rPr>
      <w:t>Framework for an Evaluation of the CFUW</w:t>
    </w:r>
    <w:r>
      <w:rPr>
        <w:rFonts w:hAnsi="Arial Bold"/>
        <w:sz w:val="22"/>
        <w:szCs w:val="22"/>
      </w:rPr>
      <w:t>’</w:t>
    </w:r>
    <w:r>
      <w:rPr>
        <w:rFonts w:ascii="Arial Bold"/>
        <w:sz w:val="22"/>
        <w:szCs w:val="22"/>
      </w:rPr>
      <w:t>s Participation in GWI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23DD0"/>
    <w:multiLevelType w:val="multilevel"/>
    <w:tmpl w:val="486828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ED079D8"/>
    <w:multiLevelType w:val="multilevel"/>
    <w:tmpl w:val="39CA4F6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11367B80"/>
    <w:multiLevelType w:val="multilevel"/>
    <w:tmpl w:val="4876247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11593E62"/>
    <w:multiLevelType w:val="multilevel"/>
    <w:tmpl w:val="D0A6020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1657B18"/>
    <w:multiLevelType w:val="multilevel"/>
    <w:tmpl w:val="408C8A3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12EC2CF0"/>
    <w:multiLevelType w:val="multilevel"/>
    <w:tmpl w:val="647AFAE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1A10019C"/>
    <w:multiLevelType w:val="multilevel"/>
    <w:tmpl w:val="D7B6ED1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B2A6342"/>
    <w:multiLevelType w:val="multilevel"/>
    <w:tmpl w:val="6DDE51D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F5665C3"/>
    <w:multiLevelType w:val="multilevel"/>
    <w:tmpl w:val="742C318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6375345"/>
    <w:multiLevelType w:val="multilevel"/>
    <w:tmpl w:val="6FB01F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8AE4412"/>
    <w:multiLevelType w:val="multilevel"/>
    <w:tmpl w:val="51E6337A"/>
    <w:lvl w:ilvl="0">
      <w:start w:val="1"/>
      <w:numFmt w:val="bullet"/>
      <w:lvlText w:val="•"/>
      <w:lvlJc w:val="left"/>
      <w:rPr>
        <w:color w:val="222222"/>
        <w:position w:val="0"/>
        <w:u w:color="222222"/>
        <w:shd w:val="clear" w:color="auto" w:fill="FFFFFF"/>
      </w:rPr>
    </w:lvl>
    <w:lvl w:ilvl="1">
      <w:start w:val="1"/>
      <w:numFmt w:val="bullet"/>
      <w:lvlText w:val="o"/>
      <w:lvlJc w:val="left"/>
      <w:rPr>
        <w:color w:val="222222"/>
        <w:position w:val="0"/>
        <w:u w:color="222222"/>
        <w:shd w:val="clear" w:color="auto" w:fill="FFFFFF"/>
      </w:rPr>
    </w:lvl>
    <w:lvl w:ilvl="2">
      <w:start w:val="1"/>
      <w:numFmt w:val="bullet"/>
      <w:lvlText w:val="▪"/>
      <w:lvlJc w:val="left"/>
      <w:rPr>
        <w:color w:val="222222"/>
        <w:position w:val="0"/>
        <w:u w:color="222222"/>
        <w:shd w:val="clear" w:color="auto" w:fill="FFFFFF"/>
      </w:rPr>
    </w:lvl>
    <w:lvl w:ilvl="3">
      <w:start w:val="1"/>
      <w:numFmt w:val="bullet"/>
      <w:lvlText w:val="•"/>
      <w:lvlJc w:val="left"/>
      <w:rPr>
        <w:color w:val="222222"/>
        <w:position w:val="0"/>
        <w:u w:color="222222"/>
        <w:shd w:val="clear" w:color="auto" w:fill="FFFFFF"/>
      </w:rPr>
    </w:lvl>
    <w:lvl w:ilvl="4">
      <w:start w:val="1"/>
      <w:numFmt w:val="bullet"/>
      <w:lvlText w:val="o"/>
      <w:lvlJc w:val="left"/>
      <w:rPr>
        <w:color w:val="222222"/>
        <w:position w:val="0"/>
        <w:u w:color="222222"/>
        <w:shd w:val="clear" w:color="auto" w:fill="FFFFFF"/>
      </w:rPr>
    </w:lvl>
    <w:lvl w:ilvl="5">
      <w:start w:val="1"/>
      <w:numFmt w:val="bullet"/>
      <w:lvlText w:val="▪"/>
      <w:lvlJc w:val="left"/>
      <w:rPr>
        <w:color w:val="222222"/>
        <w:position w:val="0"/>
        <w:u w:color="222222"/>
        <w:shd w:val="clear" w:color="auto" w:fill="FFFFFF"/>
      </w:rPr>
    </w:lvl>
    <w:lvl w:ilvl="6">
      <w:start w:val="1"/>
      <w:numFmt w:val="bullet"/>
      <w:lvlText w:val="•"/>
      <w:lvlJc w:val="left"/>
      <w:rPr>
        <w:color w:val="222222"/>
        <w:position w:val="0"/>
        <w:u w:color="222222"/>
        <w:shd w:val="clear" w:color="auto" w:fill="FFFFFF"/>
      </w:rPr>
    </w:lvl>
    <w:lvl w:ilvl="7">
      <w:start w:val="1"/>
      <w:numFmt w:val="bullet"/>
      <w:lvlText w:val="o"/>
      <w:lvlJc w:val="left"/>
      <w:rPr>
        <w:color w:val="222222"/>
        <w:position w:val="0"/>
        <w:u w:color="222222"/>
        <w:shd w:val="clear" w:color="auto" w:fill="FFFFFF"/>
      </w:rPr>
    </w:lvl>
    <w:lvl w:ilvl="8">
      <w:start w:val="1"/>
      <w:numFmt w:val="bullet"/>
      <w:lvlText w:val="▪"/>
      <w:lvlJc w:val="left"/>
      <w:rPr>
        <w:color w:val="222222"/>
        <w:position w:val="0"/>
        <w:u w:color="222222"/>
        <w:shd w:val="clear" w:color="auto" w:fill="FFFFFF"/>
      </w:rPr>
    </w:lvl>
  </w:abstractNum>
  <w:abstractNum w:abstractNumId="11" w15:restartNumberingAfterBreak="0">
    <w:nsid w:val="30DF203D"/>
    <w:multiLevelType w:val="multilevel"/>
    <w:tmpl w:val="E912109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3F7C3392"/>
    <w:multiLevelType w:val="multilevel"/>
    <w:tmpl w:val="6B2E64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2CF3232"/>
    <w:multiLevelType w:val="multilevel"/>
    <w:tmpl w:val="AE905F0E"/>
    <w:styleLink w:val="List0"/>
    <w:lvl w:ilvl="0">
      <w:numFmt w:val="bullet"/>
      <w:lvlText w:val="•"/>
      <w:lvlJc w:val="left"/>
      <w:rPr>
        <w:color w:val="222222"/>
        <w:position w:val="0"/>
        <w:u w:color="222222"/>
        <w:shd w:val="clear" w:color="auto" w:fill="FFFFFF"/>
      </w:rPr>
    </w:lvl>
    <w:lvl w:ilvl="1">
      <w:start w:val="1"/>
      <w:numFmt w:val="bullet"/>
      <w:lvlText w:val="o"/>
      <w:lvlJc w:val="left"/>
      <w:rPr>
        <w:color w:val="222222"/>
        <w:position w:val="0"/>
        <w:u w:color="222222"/>
        <w:shd w:val="clear" w:color="auto" w:fill="FFFFFF"/>
      </w:rPr>
    </w:lvl>
    <w:lvl w:ilvl="2">
      <w:start w:val="1"/>
      <w:numFmt w:val="bullet"/>
      <w:lvlText w:val="▪"/>
      <w:lvlJc w:val="left"/>
      <w:rPr>
        <w:color w:val="222222"/>
        <w:position w:val="0"/>
        <w:u w:color="222222"/>
        <w:shd w:val="clear" w:color="auto" w:fill="FFFFFF"/>
      </w:rPr>
    </w:lvl>
    <w:lvl w:ilvl="3">
      <w:start w:val="1"/>
      <w:numFmt w:val="bullet"/>
      <w:lvlText w:val="•"/>
      <w:lvlJc w:val="left"/>
      <w:rPr>
        <w:color w:val="222222"/>
        <w:position w:val="0"/>
        <w:u w:color="222222"/>
        <w:shd w:val="clear" w:color="auto" w:fill="FFFFFF"/>
      </w:rPr>
    </w:lvl>
    <w:lvl w:ilvl="4">
      <w:start w:val="1"/>
      <w:numFmt w:val="bullet"/>
      <w:lvlText w:val="o"/>
      <w:lvlJc w:val="left"/>
      <w:rPr>
        <w:color w:val="222222"/>
        <w:position w:val="0"/>
        <w:u w:color="222222"/>
        <w:shd w:val="clear" w:color="auto" w:fill="FFFFFF"/>
      </w:rPr>
    </w:lvl>
    <w:lvl w:ilvl="5">
      <w:start w:val="1"/>
      <w:numFmt w:val="bullet"/>
      <w:lvlText w:val="▪"/>
      <w:lvlJc w:val="left"/>
      <w:rPr>
        <w:color w:val="222222"/>
        <w:position w:val="0"/>
        <w:u w:color="222222"/>
        <w:shd w:val="clear" w:color="auto" w:fill="FFFFFF"/>
      </w:rPr>
    </w:lvl>
    <w:lvl w:ilvl="6">
      <w:start w:val="1"/>
      <w:numFmt w:val="bullet"/>
      <w:lvlText w:val="•"/>
      <w:lvlJc w:val="left"/>
      <w:rPr>
        <w:color w:val="222222"/>
        <w:position w:val="0"/>
        <w:u w:color="222222"/>
        <w:shd w:val="clear" w:color="auto" w:fill="FFFFFF"/>
      </w:rPr>
    </w:lvl>
    <w:lvl w:ilvl="7">
      <w:start w:val="1"/>
      <w:numFmt w:val="bullet"/>
      <w:lvlText w:val="o"/>
      <w:lvlJc w:val="left"/>
      <w:rPr>
        <w:color w:val="222222"/>
        <w:position w:val="0"/>
        <w:u w:color="222222"/>
        <w:shd w:val="clear" w:color="auto" w:fill="FFFFFF"/>
      </w:rPr>
    </w:lvl>
    <w:lvl w:ilvl="8">
      <w:start w:val="1"/>
      <w:numFmt w:val="bullet"/>
      <w:lvlText w:val="▪"/>
      <w:lvlJc w:val="left"/>
      <w:rPr>
        <w:color w:val="222222"/>
        <w:position w:val="0"/>
        <w:u w:color="222222"/>
        <w:shd w:val="clear" w:color="auto" w:fill="FFFFFF"/>
      </w:rPr>
    </w:lvl>
  </w:abstractNum>
  <w:abstractNum w:abstractNumId="14" w15:restartNumberingAfterBreak="0">
    <w:nsid w:val="43240246"/>
    <w:multiLevelType w:val="multilevel"/>
    <w:tmpl w:val="EA9CF3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4B6B0A83"/>
    <w:multiLevelType w:val="multilevel"/>
    <w:tmpl w:val="C4709B7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8643F5B"/>
    <w:multiLevelType w:val="multilevel"/>
    <w:tmpl w:val="B0F4EC3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59E154DC"/>
    <w:multiLevelType w:val="multilevel"/>
    <w:tmpl w:val="8E8CF9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5D88748F"/>
    <w:multiLevelType w:val="multilevel"/>
    <w:tmpl w:val="B8D8B72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15:restartNumberingAfterBreak="0">
    <w:nsid w:val="6BFD1B23"/>
    <w:multiLevelType w:val="multilevel"/>
    <w:tmpl w:val="97B2123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EA87768"/>
    <w:multiLevelType w:val="multilevel"/>
    <w:tmpl w:val="44B4FA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71DC58BE"/>
    <w:multiLevelType w:val="multilevel"/>
    <w:tmpl w:val="95AC629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15:restartNumberingAfterBreak="0">
    <w:nsid w:val="728D61BB"/>
    <w:multiLevelType w:val="multilevel"/>
    <w:tmpl w:val="0EAC1C68"/>
    <w:styleLink w:val="List41"/>
    <w:lvl w:ilvl="0">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3" w15:restartNumberingAfterBreak="0">
    <w:nsid w:val="759773E1"/>
    <w:multiLevelType w:val="multilevel"/>
    <w:tmpl w:val="AA46E9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76AC7C95"/>
    <w:multiLevelType w:val="multilevel"/>
    <w:tmpl w:val="7C4CDEE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7D1442B9"/>
    <w:multiLevelType w:val="multilevel"/>
    <w:tmpl w:val="DFAC559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0"/>
  </w:num>
  <w:num w:numId="2">
    <w:abstractNumId w:val="9"/>
  </w:num>
  <w:num w:numId="3">
    <w:abstractNumId w:val="13"/>
  </w:num>
  <w:num w:numId="4">
    <w:abstractNumId w:val="2"/>
  </w:num>
  <w:num w:numId="5">
    <w:abstractNumId w:val="14"/>
  </w:num>
  <w:num w:numId="6">
    <w:abstractNumId w:val="12"/>
  </w:num>
  <w:num w:numId="7">
    <w:abstractNumId w:val="19"/>
  </w:num>
  <w:num w:numId="8">
    <w:abstractNumId w:val="11"/>
  </w:num>
  <w:num w:numId="9">
    <w:abstractNumId w:val="20"/>
  </w:num>
  <w:num w:numId="10">
    <w:abstractNumId w:val="7"/>
  </w:num>
  <w:num w:numId="11">
    <w:abstractNumId w:val="1"/>
  </w:num>
  <w:num w:numId="12">
    <w:abstractNumId w:val="17"/>
  </w:num>
  <w:num w:numId="13">
    <w:abstractNumId w:val="3"/>
  </w:num>
  <w:num w:numId="14">
    <w:abstractNumId w:val="18"/>
  </w:num>
  <w:num w:numId="15">
    <w:abstractNumId w:val="16"/>
  </w:num>
  <w:num w:numId="16">
    <w:abstractNumId w:val="8"/>
  </w:num>
  <w:num w:numId="17">
    <w:abstractNumId w:val="6"/>
  </w:num>
  <w:num w:numId="18">
    <w:abstractNumId w:val="23"/>
  </w:num>
  <w:num w:numId="19">
    <w:abstractNumId w:val="24"/>
  </w:num>
  <w:num w:numId="20">
    <w:abstractNumId w:val="4"/>
  </w:num>
  <w:num w:numId="21">
    <w:abstractNumId w:val="5"/>
  </w:num>
  <w:num w:numId="22">
    <w:abstractNumId w:val="21"/>
  </w:num>
  <w:num w:numId="23">
    <w:abstractNumId w:val="15"/>
  </w:num>
  <w:num w:numId="24">
    <w:abstractNumId w:val="2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21"/>
    <w:rsid w:val="001D3DE2"/>
    <w:rsid w:val="006404B5"/>
    <w:rsid w:val="00642DDE"/>
    <w:rsid w:val="00772988"/>
    <w:rsid w:val="00795372"/>
    <w:rsid w:val="00890106"/>
    <w:rsid w:val="00A2305C"/>
    <w:rsid w:val="00B53178"/>
    <w:rsid w:val="00BE7721"/>
    <w:rsid w:val="00C30CAA"/>
    <w:rsid w:val="00C769AD"/>
    <w:rsid w:val="00F06D19"/>
    <w:rsid w:val="00F2721B"/>
    <w:rsid w:val="00F66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01CEC-11DF-4223-AFC6-CCD5C5E70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hAnsi="Arial Unicode MS" w:cs="Arial Unicode MS"/>
      <w:color w:val="000000"/>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680"/>
        <w:tab w:val="right" w:pos="9360"/>
      </w:tabs>
    </w:pPr>
    <w:rPr>
      <w:rFonts w:ascii="Arial" w:eastAsia="Arial" w:hAnsi="Arial" w:cs="Arial"/>
      <w:color w:val="000000"/>
      <w:u w:color="000000"/>
      <w:lang w:val="en-US"/>
    </w:rPr>
  </w:style>
  <w:style w:type="paragraph" w:styleId="ListParagraph">
    <w:name w:val="List Paragraph"/>
    <w:pPr>
      <w:ind w:left="720"/>
    </w:pPr>
    <w:rPr>
      <w:rFonts w:ascii="Arial" w:hAnsi="Arial Unicode MS" w:cs="Arial Unicode M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3"/>
      </w:numPr>
    </w:pPr>
  </w:style>
  <w:style w:type="numbering" w:customStyle="1" w:styleId="ImportedStyle3">
    <w:name w:val="Imported Style 3"/>
  </w:style>
  <w:style w:type="numbering" w:customStyle="1" w:styleId="List31">
    <w:name w:val="List 31"/>
    <w:basedOn w:val="ImportedStyle4"/>
    <w:pPr>
      <w:numPr>
        <w:numId w:val="19"/>
      </w:numPr>
    </w:pPr>
  </w:style>
  <w:style w:type="numbering" w:customStyle="1" w:styleId="ImportedStyle4">
    <w:name w:val="Imported Style 4"/>
  </w:style>
  <w:style w:type="numbering" w:customStyle="1" w:styleId="List41">
    <w:name w:val="List 41"/>
    <w:basedOn w:val="ImportedStyle5"/>
    <w:pPr>
      <w:numPr>
        <w:numId w:val="26"/>
      </w:numPr>
    </w:pPr>
  </w:style>
  <w:style w:type="numbering" w:customStyle="1" w:styleId="ImportedStyle5">
    <w:name w:val="Imported Style 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Mae</dc:creator>
  <cp:lastModifiedBy>Robin</cp:lastModifiedBy>
  <cp:revision>2</cp:revision>
  <dcterms:created xsi:type="dcterms:W3CDTF">2015-05-30T19:04:00Z</dcterms:created>
  <dcterms:modified xsi:type="dcterms:W3CDTF">2015-05-30T19:04:00Z</dcterms:modified>
</cp:coreProperties>
</file>