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CE" w:rsidRPr="00641AB7" w:rsidRDefault="005A581C" w:rsidP="00212835">
      <w:pPr>
        <w:rPr>
          <w:rFonts w:ascii="Century Gothic" w:hAnsi="Century Gothic"/>
          <w:lang w:val="fr-FR"/>
        </w:rPr>
      </w:pPr>
      <w:r w:rsidRPr="00641AB7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6888B10" wp14:editId="6F4BE1DE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69660" cy="3200400"/>
            <wp:effectExtent l="0" t="0" r="2540" b="0"/>
            <wp:wrapTopAndBottom/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&amp;C\Mktg\2018 Marketing Folder\TPIC &amp;  LaP\Emarketing\Q3\Capsule\1801145_TPIC_Q3_BANNER_FR_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E8F" w:rsidRPr="00641AB7">
        <w:rPr>
          <w:rFonts w:ascii="Century Gothic" w:hAnsi="Century Gothic"/>
          <w:lang w:val="fr-FR"/>
        </w:rPr>
        <w:t xml:space="preserve"> </w:t>
      </w:r>
    </w:p>
    <w:p w:rsidR="00896D09" w:rsidRPr="00641AB7" w:rsidRDefault="00896D09" w:rsidP="00724527">
      <w:pPr>
        <w:spacing w:after="0"/>
        <w:rPr>
          <w:rFonts w:ascii="Century Gothic" w:hAnsi="Century Gothic" w:cstheme="minorHAnsi"/>
          <w:color w:val="002060"/>
          <w:lang w:val="fr-FR"/>
        </w:rPr>
      </w:pPr>
      <w:r w:rsidRPr="00641AB7">
        <w:rPr>
          <w:rFonts w:ascii="Century Gothic" w:hAnsi="Century Gothic" w:cstheme="minorHAnsi"/>
          <w:color w:val="002060"/>
          <w:lang w:val="fr-FR"/>
        </w:rPr>
        <w:t xml:space="preserve">Fiez-vous à </w:t>
      </w:r>
      <w:r w:rsidRPr="00641AB7">
        <w:rPr>
          <w:rFonts w:ascii="Century Gothic" w:hAnsi="Century Gothic" w:cstheme="minorHAnsi"/>
          <w:b/>
          <w:color w:val="002060"/>
          <w:lang w:val="fr-FR"/>
        </w:rPr>
        <w:t>La Personnelle</w:t>
      </w:r>
      <w:r w:rsidRPr="00641AB7">
        <w:rPr>
          <w:rFonts w:ascii="Century Gothic" w:hAnsi="Century Gothic" w:cstheme="minorHAnsi"/>
          <w:color w:val="002060"/>
          <w:lang w:val="fr-FR"/>
        </w:rPr>
        <w:t xml:space="preserve"> pour protéger vos biens les plus précieux. En confiant votre assurance habitation à La Personnelle, obtenez des protections personnalisées et optionnelles.</w:t>
      </w:r>
    </w:p>
    <w:p w:rsidR="000840F2" w:rsidRPr="00641AB7" w:rsidRDefault="007955CE" w:rsidP="00724527">
      <w:pPr>
        <w:spacing w:after="0"/>
        <w:rPr>
          <w:rFonts w:ascii="Century Gothic" w:hAnsi="Century Gothic" w:cstheme="minorHAnsi"/>
          <w:lang w:val="fr-FR"/>
        </w:rPr>
      </w:pPr>
      <w:r w:rsidRPr="00641AB7">
        <w:rPr>
          <w:rFonts w:ascii="Century Gothic" w:hAnsi="Century Gothic" w:cstheme="minorHAnsi"/>
          <w:lang w:val="fr-FR"/>
        </w:rPr>
        <w:t xml:space="preserve"> </w:t>
      </w:r>
    </w:p>
    <w:p w:rsidR="00896D09" w:rsidRPr="00641AB7" w:rsidRDefault="00896D09" w:rsidP="008E7C44">
      <w:pPr>
        <w:spacing w:after="0"/>
        <w:rPr>
          <w:rFonts w:ascii="Century Gothic" w:hAnsi="Century Gothic" w:cstheme="minorHAnsi"/>
          <w:b/>
          <w:color w:val="0070C0"/>
          <w:sz w:val="24"/>
          <w:lang w:val="fr-FR"/>
        </w:rPr>
      </w:pPr>
      <w:r w:rsidRPr="00641AB7">
        <w:rPr>
          <w:rFonts w:ascii="Century Gothic" w:hAnsi="Century Gothic" w:cstheme="minorHAnsi"/>
          <w:b/>
          <w:color w:val="0070C0"/>
          <w:sz w:val="24"/>
          <w:lang w:val="fr-FR"/>
        </w:rPr>
        <w:t>Notre engagement à vous offrir un service exceptionnel</w:t>
      </w:r>
    </w:p>
    <w:p w:rsidR="008E7C44" w:rsidRPr="00641AB7" w:rsidRDefault="00896D09" w:rsidP="00AA065E">
      <w:pPr>
        <w:spacing w:after="0"/>
        <w:rPr>
          <w:rFonts w:ascii="Century Gothic" w:hAnsi="Century Gothic" w:cstheme="minorHAnsi"/>
          <w:color w:val="002060"/>
          <w:lang w:val="fr-FR"/>
        </w:rPr>
      </w:pPr>
      <w:r w:rsidRPr="00641AB7">
        <w:rPr>
          <w:rFonts w:ascii="Century Gothic" w:hAnsi="Century Gothic" w:cstheme="minorHAnsi"/>
          <w:color w:val="002060"/>
          <w:lang w:val="fr-FR"/>
        </w:rPr>
        <w:t>L’assurance habitation de La Personnelle est simple et flexible. Nous mettons tout en œuvre pour vous faciliter la vie.</w:t>
      </w:r>
    </w:p>
    <w:p w:rsidR="00896D09" w:rsidRPr="00641AB7" w:rsidRDefault="00896D09" w:rsidP="00AA065E">
      <w:pPr>
        <w:spacing w:after="0"/>
        <w:rPr>
          <w:rFonts w:ascii="Century Gothic" w:hAnsi="Century Gothic" w:cstheme="minorHAnsi"/>
          <w:b/>
          <w:color w:val="0070C0"/>
          <w:sz w:val="24"/>
          <w:szCs w:val="20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7069"/>
      </w:tblGrid>
      <w:tr w:rsidR="00212835" w:rsidRPr="00641AB7" w:rsidTr="00FC7369">
        <w:trPr>
          <w:jc w:val="center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835" w:rsidRPr="00641AB7" w:rsidRDefault="00316F0D" w:rsidP="00526A45">
            <w:pPr>
              <w:jc w:val="center"/>
              <w:rPr>
                <w:rFonts w:ascii="Century Gothic" w:hAnsi="Century Gothic" w:cstheme="minorHAnsi"/>
                <w:b/>
                <w:color w:val="0070C0"/>
                <w:sz w:val="24"/>
                <w:szCs w:val="20"/>
                <w:lang w:val="fr-FR"/>
              </w:rPr>
            </w:pPr>
            <w:r>
              <w:rPr>
                <w:rFonts w:ascii="Century Gothic" w:hAnsi="Century Gothic" w:cstheme="minorHAnsi"/>
                <w:b/>
                <w:noProof/>
                <w:color w:val="0070C0"/>
                <w:sz w:val="24"/>
                <w:szCs w:val="20"/>
                <w:lang w:eastAsia="en-CA"/>
              </w:rPr>
              <w:drawing>
                <wp:inline distT="0" distB="0" distL="0" distR="0">
                  <wp:extent cx="1138046" cy="1206500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WEB\web\2018 Web\2018 Q3\Email rough work\protection pour les eaux du sol - 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464" cy="121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A45" w:rsidRPr="00641AB7" w:rsidRDefault="00526A45" w:rsidP="00526A45">
            <w:pPr>
              <w:spacing w:line="276" w:lineRule="auto"/>
              <w:rPr>
                <w:rFonts w:ascii="Century Gothic" w:hAnsi="Century Gothic" w:cstheme="minorHAnsi"/>
                <w:b/>
                <w:color w:val="0070C0"/>
                <w:sz w:val="4"/>
                <w:szCs w:val="20"/>
                <w:lang w:val="fr-FR"/>
              </w:rPr>
            </w:pPr>
          </w:p>
          <w:p w:rsidR="00526A45" w:rsidRPr="00641AB7" w:rsidRDefault="00896D09" w:rsidP="00212835">
            <w:pPr>
              <w:rPr>
                <w:rFonts w:ascii="Century Gothic" w:hAnsi="Century Gothic" w:cstheme="minorHAnsi"/>
                <w:b/>
                <w:color w:val="0070C0"/>
                <w:sz w:val="24"/>
                <w:szCs w:val="20"/>
                <w:lang w:val="fr-FR"/>
              </w:rPr>
            </w:pPr>
            <w:r w:rsidRPr="00641AB7">
              <w:rPr>
                <w:rFonts w:ascii="Century Gothic" w:hAnsi="Century Gothic" w:cstheme="minorHAnsi"/>
                <w:b/>
                <w:color w:val="0070C0"/>
                <w:sz w:val="24"/>
                <w:szCs w:val="20"/>
                <w:lang w:val="fr-FR"/>
              </w:rPr>
              <w:t>Saviez-vous que les dégâts d'eau constituent la cause no 1 des réclamations en</w:t>
            </w:r>
            <w:r w:rsidR="007C3111">
              <w:rPr>
                <w:rFonts w:ascii="Century Gothic" w:hAnsi="Century Gothic" w:cstheme="minorHAnsi"/>
                <w:b/>
                <w:color w:val="0070C0"/>
                <w:sz w:val="24"/>
                <w:szCs w:val="20"/>
                <w:lang w:val="fr-FR"/>
              </w:rPr>
              <w:t xml:space="preserve"> assurance habitation au Canada</w:t>
            </w:r>
            <w:r w:rsidRPr="00641AB7">
              <w:rPr>
                <w:rFonts w:ascii="Century Gothic" w:hAnsi="Century Gothic" w:cstheme="minorHAnsi"/>
                <w:b/>
                <w:color w:val="0070C0"/>
                <w:sz w:val="24"/>
                <w:szCs w:val="20"/>
                <w:lang w:val="fr-FR"/>
              </w:rPr>
              <w:t>?</w:t>
            </w:r>
            <w:r w:rsidR="007C3111">
              <w:rPr>
                <w:rFonts w:ascii="Century Gothic" w:hAnsi="Century Gothic" w:cstheme="minorHAnsi"/>
                <w:b/>
                <w:color w:val="0070C0"/>
                <w:sz w:val="24"/>
                <w:szCs w:val="20"/>
                <w:lang w:val="fr-FR"/>
              </w:rPr>
              <w:t>*</w:t>
            </w:r>
          </w:p>
          <w:p w:rsidR="00896D09" w:rsidRPr="00641AB7" w:rsidRDefault="00896D09" w:rsidP="00212835">
            <w:pPr>
              <w:rPr>
                <w:rFonts w:ascii="Century Gothic" w:hAnsi="Century Gothic" w:cstheme="minorHAnsi"/>
                <w:b/>
                <w:color w:val="002060"/>
                <w:sz w:val="16"/>
                <w:szCs w:val="20"/>
                <w:lang w:val="fr-FR"/>
              </w:rPr>
            </w:pPr>
          </w:p>
          <w:p w:rsidR="007C3111" w:rsidRPr="007C3111" w:rsidRDefault="00552DE1" w:rsidP="007C3111">
            <w:pPr>
              <w:rPr>
                <w:rStyle w:val="Hyperlink"/>
                <w:rFonts w:ascii="Century Gothic" w:hAnsi="Century Gothic"/>
                <w:color w:val="002060"/>
                <w:u w:val="none"/>
                <w:lang w:val="fr-FR"/>
              </w:rPr>
            </w:pPr>
            <w:hyperlink r:id="rId9" w:history="1">
              <w:r w:rsidR="00896D09" w:rsidRPr="00D62406">
                <w:rPr>
                  <w:rStyle w:val="Hyperlink"/>
                  <w:rFonts w:ascii="Century Gothic" w:hAnsi="Century Gothic"/>
                  <w:lang w:val="fr-FR"/>
                </w:rPr>
                <w:t>Protégez votre résidence</w:t>
              </w:r>
            </w:hyperlink>
            <w:r w:rsidR="00896D09" w:rsidRPr="00641AB7">
              <w:rPr>
                <w:rFonts w:ascii="Century Gothic" w:hAnsi="Century Gothic"/>
                <w:color w:val="002060"/>
                <w:lang w:val="fr-FR"/>
              </w:rPr>
              <w:t xml:space="preserve"> contre les infiltrations d’eau du sol et les refoulements d’égo</w:t>
            </w:r>
            <w:r w:rsidR="00896D09" w:rsidRPr="007C3111">
              <w:rPr>
                <w:rFonts w:ascii="Century Gothic" w:hAnsi="Century Gothic"/>
                <w:color w:val="002060"/>
                <w:lang w:val="fr-FR"/>
              </w:rPr>
              <w:t xml:space="preserve">ut. </w:t>
            </w:r>
            <w:r w:rsidR="007C3111" w:rsidRPr="007C3111">
              <w:rPr>
                <w:rFonts w:ascii="Century Gothic" w:hAnsi="Century Gothic"/>
                <w:color w:val="002060"/>
                <w:lang w:val="fr-FR"/>
              </w:rPr>
              <w:t>De plus, s’il y a une fuite d’eau chez vous, vous le saurez vite grâce à</w:t>
            </w:r>
            <w:r w:rsidR="00B143DA" w:rsidRPr="007C3111">
              <w:rPr>
                <w:rFonts w:ascii="Century Gothic" w:hAnsi="Century Gothic"/>
                <w:color w:val="002060"/>
                <w:lang w:val="fr-FR"/>
              </w:rPr>
              <w:t xml:space="preserve"> </w:t>
            </w:r>
            <w:hyperlink r:id="rId10" w:history="1">
              <w:r w:rsidR="00B143DA" w:rsidRPr="007C3111">
                <w:rPr>
                  <w:rStyle w:val="Hyperlink"/>
                  <w:rFonts w:ascii="Century Gothic" w:hAnsi="Century Gothic"/>
                  <w:lang w:val="fr-FR"/>
                </w:rPr>
                <w:t>A</w:t>
              </w:r>
              <w:r w:rsidR="007C3111" w:rsidRPr="007C3111">
                <w:rPr>
                  <w:rStyle w:val="Hyperlink"/>
                  <w:rFonts w:ascii="Century Gothic" w:hAnsi="Century Gothic"/>
                  <w:lang w:val="fr-FR"/>
                </w:rPr>
                <w:t>lerte</w:t>
              </w:r>
            </w:hyperlink>
            <w:r w:rsidR="007C3111" w:rsidRPr="007C3111">
              <w:rPr>
                <w:rStyle w:val="Hyperlink"/>
                <w:rFonts w:ascii="Century Gothic" w:hAnsi="Century Gothic"/>
                <w:color w:val="002060"/>
                <w:u w:val="none"/>
                <w:lang w:val="fr-FR"/>
              </w:rPr>
              <w:t xml:space="preserve"> dans l’application </w:t>
            </w:r>
          </w:p>
          <w:p w:rsidR="00212835" w:rsidRPr="007C3111" w:rsidRDefault="007C3111" w:rsidP="007C3111">
            <w:pPr>
              <w:rPr>
                <w:rFonts w:ascii="Century Gothic" w:hAnsi="Century Gothic" w:cstheme="minorHAnsi"/>
                <w:b/>
                <w:color w:val="002060"/>
                <w:sz w:val="24"/>
                <w:szCs w:val="20"/>
                <w:lang w:val="fr-FR"/>
              </w:rPr>
            </w:pPr>
            <w:r w:rsidRPr="007C3111">
              <w:rPr>
                <w:rStyle w:val="Hyperlink"/>
                <w:rFonts w:ascii="Century Gothic" w:hAnsi="Century Gothic"/>
                <w:color w:val="002060"/>
                <w:u w:val="none"/>
                <w:lang w:val="fr-FR"/>
              </w:rPr>
              <w:t>La Personnelle !</w:t>
            </w:r>
          </w:p>
        </w:tc>
      </w:tr>
    </w:tbl>
    <w:p w:rsidR="00724527" w:rsidRPr="00641AB7" w:rsidRDefault="00724527" w:rsidP="00A0382E">
      <w:pPr>
        <w:spacing w:after="0"/>
        <w:jc w:val="center"/>
        <w:rPr>
          <w:rFonts w:ascii="Century Gothic" w:hAnsi="Century Gothic" w:cstheme="minorHAnsi"/>
          <w:color w:val="0070C0"/>
          <w:lang w:val="fr-FR"/>
        </w:rPr>
      </w:pPr>
      <w:bookmarkStart w:id="0" w:name="_Hlk503952940"/>
    </w:p>
    <w:p w:rsidR="005752E3" w:rsidRPr="00641AB7" w:rsidRDefault="005752E3" w:rsidP="00822F01">
      <w:pPr>
        <w:spacing w:after="0"/>
        <w:rPr>
          <w:rFonts w:ascii="Century Gothic" w:hAnsi="Century Gothic" w:cstheme="minorHAnsi"/>
          <w:b/>
          <w:color w:val="0070C0"/>
          <w:lang w:val="fr-FR"/>
        </w:rPr>
      </w:pPr>
    </w:p>
    <w:bookmarkEnd w:id="0"/>
    <w:p w:rsidR="00641AB7" w:rsidRPr="00641AB7" w:rsidRDefault="00641AB7" w:rsidP="00822F01">
      <w:pPr>
        <w:spacing w:after="0"/>
        <w:rPr>
          <w:rFonts w:ascii="Century Gothic" w:hAnsi="Century Gothic" w:cstheme="minorHAnsi"/>
          <w:b/>
          <w:color w:val="0070C0"/>
          <w:sz w:val="24"/>
          <w:lang w:val="fr-FR"/>
        </w:rPr>
      </w:pPr>
      <w:r w:rsidRPr="00641AB7">
        <w:rPr>
          <w:rFonts w:ascii="Century Gothic" w:hAnsi="Century Gothic" w:cstheme="minorHAnsi"/>
          <w:b/>
          <w:color w:val="0070C0"/>
          <w:sz w:val="24"/>
          <w:lang w:val="fr-FR"/>
        </w:rPr>
        <w:t>Des économies pour vos assurances auto et habitation</w:t>
      </w:r>
    </w:p>
    <w:p w:rsidR="00822F01" w:rsidRPr="00552DE1" w:rsidRDefault="00641AB7" w:rsidP="00822F01">
      <w:pPr>
        <w:autoSpaceDE w:val="0"/>
        <w:autoSpaceDN w:val="0"/>
        <w:adjustRightInd w:val="0"/>
        <w:spacing w:after="0"/>
        <w:rPr>
          <w:rFonts w:ascii="Century Gothic" w:hAnsi="Century Gothic" w:cstheme="minorHAnsi"/>
          <w:color w:val="002060"/>
          <w:lang w:val="fr-FR"/>
        </w:rPr>
      </w:pPr>
      <w:r w:rsidRPr="00641AB7">
        <w:rPr>
          <w:rFonts w:ascii="Century Gothic" w:hAnsi="Century Gothic" w:cstheme="minorHAnsi"/>
          <w:color w:val="002060"/>
          <w:lang w:val="fr-FR"/>
        </w:rPr>
        <w:t xml:space="preserve">Vous pourriez avoir accès à </w:t>
      </w:r>
      <w:r w:rsidRPr="00641AB7">
        <w:rPr>
          <w:rFonts w:ascii="Century Gothic" w:hAnsi="Century Gothic" w:cstheme="minorHAnsi"/>
          <w:b/>
          <w:color w:val="002060"/>
          <w:lang w:val="fr-FR"/>
        </w:rPr>
        <w:t>des tarifs de groupe exclusifs</w:t>
      </w:r>
      <w:r w:rsidRPr="00641AB7">
        <w:rPr>
          <w:rFonts w:ascii="Century Gothic" w:hAnsi="Century Gothic" w:cstheme="minorHAnsi"/>
          <w:color w:val="002060"/>
          <w:lang w:val="fr-FR"/>
        </w:rPr>
        <w:t xml:space="preserve">, en plus </w:t>
      </w:r>
      <w:r w:rsidRPr="00641AB7">
        <w:rPr>
          <w:rFonts w:ascii="Century Gothic" w:hAnsi="Century Gothic" w:cstheme="minorHAnsi"/>
          <w:b/>
          <w:color w:val="002060"/>
          <w:lang w:val="fr-FR"/>
        </w:rPr>
        <w:t>d’économies pouvant aller jusqu’à 30 %</w:t>
      </w:r>
      <w:r w:rsidRPr="00641AB7">
        <w:rPr>
          <w:rFonts w:ascii="Century Gothic" w:hAnsi="Century Gothic" w:cstheme="minorHAnsi"/>
          <w:b/>
          <w:color w:val="002060"/>
          <w:vertAlign w:val="superscript"/>
          <w:lang w:val="fr-FR"/>
        </w:rPr>
        <w:t>1</w:t>
      </w:r>
      <w:r w:rsidRPr="00641AB7">
        <w:rPr>
          <w:rFonts w:ascii="Century Gothic" w:hAnsi="Century Gothic" w:cstheme="minorHAnsi"/>
          <w:color w:val="002060"/>
          <w:lang w:val="fr-FR"/>
        </w:rPr>
        <w:t xml:space="preserve"> sur vos assurances auto et habitation. Faites comme </w:t>
      </w:r>
      <w:r w:rsidRPr="00552DE1">
        <w:rPr>
          <w:rFonts w:ascii="Century Gothic" w:hAnsi="Century Gothic" w:cstheme="minorHAnsi"/>
          <w:color w:val="002060"/>
          <w:lang w:val="fr-FR"/>
        </w:rPr>
        <w:t xml:space="preserve">plusieurs </w:t>
      </w:r>
      <w:r w:rsidRPr="00552DE1">
        <w:rPr>
          <w:rFonts w:ascii="Century Gothic" w:hAnsi="Century Gothic" w:cstheme="minorHAnsi"/>
          <w:b/>
          <w:color w:val="002060"/>
          <w:lang w:val="fr-FR"/>
        </w:rPr>
        <w:t>membres</w:t>
      </w:r>
      <w:r w:rsidRPr="00552DE1">
        <w:rPr>
          <w:rFonts w:ascii="Century Gothic" w:hAnsi="Century Gothic" w:cstheme="minorHAnsi"/>
          <w:color w:val="002060"/>
          <w:lang w:val="fr-FR"/>
        </w:rPr>
        <w:t xml:space="preserve"> de</w:t>
      </w:r>
      <w:r w:rsidR="00552DE1" w:rsidRPr="00552DE1">
        <w:rPr>
          <w:rFonts w:ascii="Century Gothic" w:hAnsi="Century Gothic" w:cstheme="minorHAnsi"/>
          <w:color w:val="002060"/>
          <w:lang w:val="fr-FR"/>
        </w:rPr>
        <w:t xml:space="preserve"> la</w:t>
      </w:r>
      <w:r w:rsidRPr="00552DE1">
        <w:rPr>
          <w:rFonts w:ascii="Century Gothic" w:hAnsi="Century Gothic" w:cstheme="minorHAnsi"/>
          <w:color w:val="002060"/>
          <w:lang w:val="fr-FR"/>
        </w:rPr>
        <w:t xml:space="preserve"> </w:t>
      </w:r>
      <w:r w:rsidR="00552DE1" w:rsidRPr="00552DE1">
        <w:rPr>
          <w:rFonts w:ascii="Century Gothic" w:hAnsi="Century Gothic" w:cstheme="minorHAnsi"/>
          <w:b/>
          <w:color w:val="002060"/>
          <w:lang w:val="fr-FR"/>
        </w:rPr>
        <w:t xml:space="preserve">Fédération canadienne des femmes diplômées des universités </w:t>
      </w:r>
      <w:r w:rsidRPr="00552DE1">
        <w:rPr>
          <w:rFonts w:ascii="Century Gothic" w:hAnsi="Century Gothic" w:cstheme="minorHAnsi"/>
          <w:color w:val="002060"/>
          <w:lang w:val="fr-FR"/>
        </w:rPr>
        <w:t>qui profitent déjà des avantages offerts par La Personnelle.</w:t>
      </w:r>
    </w:p>
    <w:p w:rsidR="00822F01" w:rsidRPr="00641AB7" w:rsidRDefault="00641AB7" w:rsidP="00FA31BD">
      <w:pPr>
        <w:autoSpaceDE w:val="0"/>
        <w:autoSpaceDN w:val="0"/>
        <w:adjustRightInd w:val="0"/>
        <w:spacing w:after="0"/>
        <w:rPr>
          <w:rFonts w:ascii="Century Gothic" w:hAnsi="Century Gothic" w:cstheme="minorHAnsi"/>
          <w:b/>
          <w:color w:val="365F91" w:themeColor="accent1" w:themeShade="BF"/>
          <w:szCs w:val="20"/>
          <w:lang w:val="fr-CA"/>
        </w:rPr>
      </w:pPr>
      <w:r w:rsidRPr="00641AB7">
        <w:rPr>
          <w:rFonts w:ascii="Century Gothic" w:hAnsi="Century Gothic" w:cstheme="minorHAnsi"/>
          <w:color w:val="0070C0"/>
          <w:lang w:val="fr-FR"/>
        </w:rPr>
        <w:t>Économisez en combinant vos assurances</w:t>
      </w:r>
      <w:r w:rsidR="00AA065E" w:rsidRPr="00641AB7">
        <w:rPr>
          <w:rFonts w:ascii="Century Gothic" w:hAnsi="Century Gothic" w:cstheme="minorHAnsi"/>
          <w:color w:val="0070C0"/>
          <w:lang w:val="fr-FR"/>
        </w:rPr>
        <w:t xml:space="preserve"> </w:t>
      </w:r>
      <w:r w:rsidR="00896D09" w:rsidRPr="00641AB7">
        <w:rPr>
          <w:rFonts w:ascii="Century Gothic" w:hAnsi="Century Gothic"/>
          <w:noProof/>
          <w:szCs w:val="20"/>
          <w:lang w:eastAsia="en-CA"/>
        </w:rPr>
        <w:drawing>
          <wp:inline distT="0" distB="0" distL="0" distR="0" wp14:anchorId="7EDD89A4" wp14:editId="13F6514A">
            <wp:extent cx="369308" cy="37526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WEB\web\2018 Web\2018 Q3\blue auto ic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08" cy="37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65E" w:rsidRPr="00641AB7">
        <w:rPr>
          <w:rFonts w:ascii="Century Gothic" w:hAnsi="Century Gothic" w:cstheme="minorHAnsi"/>
          <w:color w:val="0070C0"/>
          <w:lang w:val="fr-FR"/>
        </w:rPr>
        <w:t xml:space="preserve"> &amp;</w:t>
      </w:r>
      <w:r w:rsidR="00896D09" w:rsidRPr="00641AB7">
        <w:rPr>
          <w:rFonts w:ascii="Century Gothic" w:hAnsi="Century Gothic" w:cstheme="minorHAnsi"/>
          <w:color w:val="0070C0"/>
          <w:lang w:val="fr-FR"/>
        </w:rPr>
        <w:t xml:space="preserve"> </w:t>
      </w:r>
      <w:r w:rsidR="00896D09" w:rsidRPr="00641AB7">
        <w:rPr>
          <w:rFonts w:ascii="Century Gothic" w:hAnsi="Century Gothic" w:cstheme="minorHAnsi"/>
          <w:b/>
          <w:noProof/>
          <w:color w:val="365F91" w:themeColor="accent1" w:themeShade="BF"/>
          <w:szCs w:val="20"/>
          <w:lang w:eastAsia="en-CA"/>
        </w:rPr>
        <w:drawing>
          <wp:inline distT="0" distB="0" distL="0" distR="0" wp14:anchorId="6B994F55" wp14:editId="73856CB5">
            <wp:extent cx="368300" cy="36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WEB\web\2018 Web\2018 Q3\blue home ic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65E" w:rsidRPr="00641AB7">
        <w:rPr>
          <w:rFonts w:ascii="Century Gothic" w:hAnsi="Century Gothic" w:cstheme="minorHAnsi"/>
          <w:color w:val="0070C0"/>
          <w:lang w:val="fr-FR"/>
        </w:rPr>
        <w:t xml:space="preserve"> </w:t>
      </w:r>
      <w:r w:rsidRPr="00641AB7">
        <w:rPr>
          <w:rFonts w:ascii="Century Gothic" w:hAnsi="Century Gothic" w:cstheme="minorHAnsi"/>
          <w:color w:val="0070C0"/>
          <w:lang w:val="fr-FR"/>
        </w:rPr>
        <w:t>avec nous, en plus de profiter de tarifs de groupe exclusifs!</w:t>
      </w:r>
    </w:p>
    <w:p w:rsidR="00822F01" w:rsidRPr="00641AB7" w:rsidRDefault="008E2745" w:rsidP="00552DE1">
      <w:pPr>
        <w:tabs>
          <w:tab w:val="center" w:pos="4680"/>
        </w:tabs>
        <w:spacing w:before="240" w:after="0"/>
        <w:rPr>
          <w:rFonts w:ascii="Century Gothic" w:hAnsi="Century Gothic" w:cstheme="minorHAnsi"/>
          <w:b/>
          <w:color w:val="0070C0"/>
          <w:sz w:val="28"/>
          <w:szCs w:val="28"/>
          <w:lang w:val="fr-FR"/>
        </w:rPr>
      </w:pPr>
      <w:r w:rsidRPr="008E2745">
        <w:rPr>
          <w:rFonts w:ascii="Century Gothic" w:hAnsi="Century Gothic" w:cstheme="minorHAnsi"/>
          <w:b/>
          <w:color w:val="0070C0"/>
          <w:sz w:val="28"/>
          <w:szCs w:val="28"/>
          <w:lang w:val="fr-FR"/>
        </w:rPr>
        <w:t xml:space="preserve">Obtenez une soumission et économisez! </w:t>
      </w:r>
      <w:r w:rsidR="00822F01" w:rsidRPr="00641AB7">
        <w:rPr>
          <w:rFonts w:ascii="Century Gothic" w:hAnsi="Century Gothic" w:cstheme="minorHAnsi"/>
          <w:b/>
          <w:color w:val="0070C0"/>
          <w:sz w:val="28"/>
          <w:szCs w:val="28"/>
          <w:lang w:val="fr-FR"/>
        </w:rPr>
        <w:t xml:space="preserve"> </w:t>
      </w:r>
    </w:p>
    <w:p w:rsidR="00822F01" w:rsidRPr="00641AB7" w:rsidRDefault="007C3111" w:rsidP="00822F01">
      <w:pPr>
        <w:tabs>
          <w:tab w:val="center" w:pos="4680"/>
        </w:tabs>
        <w:spacing w:after="0"/>
        <w:rPr>
          <w:rFonts w:ascii="Century Gothic" w:hAnsi="Century Gothic" w:cstheme="minorHAnsi"/>
          <w:b/>
          <w:bCs/>
          <w:color w:val="0070C0"/>
          <w:sz w:val="28"/>
          <w:szCs w:val="28"/>
          <w:lang w:val="fr-FR"/>
        </w:rPr>
      </w:pPr>
      <w:r>
        <w:rPr>
          <w:rFonts w:ascii="Century Gothic" w:hAnsi="Century Gothic" w:cstheme="minorHAnsi"/>
          <w:b/>
          <w:bCs/>
          <w:color w:val="0070C0"/>
          <w:sz w:val="28"/>
          <w:szCs w:val="28"/>
          <w:lang w:val="fr-FR"/>
        </w:rPr>
        <w:t xml:space="preserve">1 </w:t>
      </w:r>
      <w:r w:rsidR="000E51B5">
        <w:rPr>
          <w:rFonts w:ascii="Century Gothic" w:hAnsi="Century Gothic" w:cstheme="minorHAnsi"/>
          <w:b/>
          <w:bCs/>
          <w:color w:val="0070C0"/>
          <w:sz w:val="28"/>
          <w:szCs w:val="28"/>
          <w:lang w:val="fr-FR"/>
        </w:rPr>
        <w:t xml:space="preserve">888 </w:t>
      </w:r>
      <w:r w:rsidR="00822F01" w:rsidRPr="00641AB7">
        <w:rPr>
          <w:rFonts w:ascii="Century Gothic" w:hAnsi="Century Gothic" w:cstheme="minorHAnsi"/>
          <w:b/>
          <w:bCs/>
          <w:color w:val="0070C0"/>
          <w:sz w:val="28"/>
          <w:szCs w:val="28"/>
          <w:lang w:val="fr-FR"/>
        </w:rPr>
        <w:t xml:space="preserve">476-8737 </w:t>
      </w:r>
    </w:p>
    <w:p w:rsidR="000D2F0E" w:rsidRPr="00EE3ABA" w:rsidRDefault="00552DE1" w:rsidP="00AA065E">
      <w:pPr>
        <w:tabs>
          <w:tab w:val="center" w:pos="4680"/>
        </w:tabs>
        <w:spacing w:after="0"/>
        <w:rPr>
          <w:rFonts w:ascii="Century Gothic" w:hAnsi="Century Gothic"/>
          <w:b/>
          <w:bCs/>
          <w:color w:val="000000"/>
          <w:lang w:val="fr-FR"/>
        </w:rPr>
      </w:pPr>
      <w:hyperlink r:id="rId13" w:history="1">
        <w:r w:rsidR="008E2745" w:rsidRPr="00EE3ABA">
          <w:rPr>
            <w:rStyle w:val="Hyperlink"/>
            <w:rFonts w:ascii="Century Gothic" w:hAnsi="Century Gothic" w:cstheme="minorHAnsi"/>
            <w:b/>
            <w:sz w:val="28"/>
            <w:szCs w:val="28"/>
            <w:lang w:val="fr-FR"/>
          </w:rPr>
          <w:t>lapersonnelle</w:t>
        </w:r>
        <w:r w:rsidR="00212835" w:rsidRPr="00EE3ABA">
          <w:rPr>
            <w:rStyle w:val="Hyperlink"/>
            <w:rFonts w:ascii="Century Gothic" w:hAnsi="Century Gothic" w:cstheme="minorHAnsi"/>
            <w:b/>
            <w:sz w:val="28"/>
            <w:szCs w:val="28"/>
            <w:lang w:val="fr-FR"/>
          </w:rPr>
          <w:t>.com/</w:t>
        </w:r>
        <w:proofErr w:type="spellStart"/>
        <w:r w:rsidRPr="00552DE1">
          <w:rPr>
            <w:rStyle w:val="Hyperlink"/>
            <w:rFonts w:ascii="Century Gothic" w:hAnsi="Century Gothic" w:cstheme="minorHAnsi"/>
            <w:b/>
            <w:sz w:val="28"/>
            <w:szCs w:val="28"/>
            <w:lang w:val="fr-FR"/>
          </w:rPr>
          <w:t>fcfdu</w:t>
        </w:r>
        <w:proofErr w:type="spellEnd"/>
      </w:hyperlink>
      <w:r w:rsidR="00AA065E" w:rsidRPr="00EE3ABA">
        <w:rPr>
          <w:rFonts w:ascii="Century Gothic" w:hAnsi="Century Gothic"/>
          <w:b/>
          <w:bCs/>
          <w:color w:val="000000"/>
          <w:lang w:val="fr-FR"/>
        </w:rPr>
        <w:t xml:space="preserve"> </w:t>
      </w:r>
      <w:bookmarkStart w:id="1" w:name="_GoBack"/>
      <w:bookmarkEnd w:id="1"/>
    </w:p>
    <w:p w:rsidR="0000559B" w:rsidRPr="00907FAD" w:rsidRDefault="0000559B" w:rsidP="00AA065E">
      <w:pPr>
        <w:tabs>
          <w:tab w:val="center" w:pos="4680"/>
        </w:tabs>
        <w:spacing w:after="0"/>
        <w:rPr>
          <w:rFonts w:ascii="Century Gothic" w:hAnsi="Century Gothic"/>
          <w:bCs/>
          <w:sz w:val="18"/>
          <w:szCs w:val="18"/>
          <w:lang w:val="fr-FR"/>
        </w:rPr>
      </w:pPr>
    </w:p>
    <w:p w:rsidR="0000559B" w:rsidRPr="00B143DA" w:rsidRDefault="0000559B" w:rsidP="00AA065E">
      <w:pPr>
        <w:tabs>
          <w:tab w:val="center" w:pos="4680"/>
        </w:tabs>
        <w:spacing w:after="0"/>
        <w:rPr>
          <w:rFonts w:ascii="Century Gothic" w:hAnsi="Century Gothic"/>
          <w:bCs/>
          <w:sz w:val="18"/>
          <w:szCs w:val="18"/>
          <w:lang w:val="fr-FR"/>
        </w:rPr>
      </w:pPr>
      <w:r w:rsidRPr="00B143DA">
        <w:rPr>
          <w:rFonts w:ascii="Century Gothic" w:hAnsi="Century Gothic"/>
          <w:bCs/>
          <w:sz w:val="18"/>
          <w:szCs w:val="18"/>
          <w:lang w:val="fr-FR"/>
        </w:rPr>
        <w:t>[</w:t>
      </w:r>
      <w:proofErr w:type="spellStart"/>
      <w:r w:rsidRPr="00B143DA">
        <w:rPr>
          <w:rFonts w:ascii="Century Gothic" w:hAnsi="Century Gothic"/>
          <w:bCs/>
          <w:sz w:val="18"/>
          <w:szCs w:val="18"/>
          <w:lang w:val="fr-FR"/>
        </w:rPr>
        <w:t>Legal</w:t>
      </w:r>
      <w:proofErr w:type="spellEnd"/>
      <w:r w:rsidRPr="00B143DA">
        <w:rPr>
          <w:rFonts w:ascii="Century Gothic" w:hAnsi="Century Gothic"/>
          <w:bCs/>
          <w:sz w:val="18"/>
          <w:szCs w:val="18"/>
          <w:lang w:val="fr-FR"/>
        </w:rPr>
        <w:t>]</w:t>
      </w:r>
    </w:p>
    <w:p w:rsidR="00B143DA" w:rsidRPr="00B143DA" w:rsidRDefault="00B143DA" w:rsidP="00B143DA">
      <w:pPr>
        <w:tabs>
          <w:tab w:val="center" w:pos="4680"/>
        </w:tabs>
        <w:spacing w:after="0"/>
        <w:rPr>
          <w:rFonts w:ascii="Century Gothic" w:hAnsi="Century Gothic" w:cstheme="minorHAnsi"/>
          <w:bCs/>
          <w:sz w:val="18"/>
          <w:szCs w:val="18"/>
          <w:lang w:val="fr-FR"/>
        </w:rPr>
      </w:pPr>
      <w:r w:rsidRPr="00B143DA">
        <w:rPr>
          <w:rFonts w:ascii="Century Gothic" w:hAnsi="Century Gothic" w:cstheme="minorHAnsi"/>
          <w:bCs/>
          <w:sz w:val="18"/>
          <w:szCs w:val="18"/>
          <w:lang w:val="fr-FR"/>
        </w:rPr>
        <w:t xml:space="preserve">Certaines conditions, limitations et exclusions peuvent s’appliquer. La Personnelle désigne La Personnelle, assurances générales </w:t>
      </w:r>
      <w:proofErr w:type="spellStart"/>
      <w:r w:rsidRPr="00B143DA">
        <w:rPr>
          <w:rFonts w:ascii="Century Gothic" w:hAnsi="Century Gothic" w:cstheme="minorHAnsi"/>
          <w:bCs/>
          <w:sz w:val="18"/>
          <w:szCs w:val="18"/>
          <w:lang w:val="fr-FR"/>
        </w:rPr>
        <w:t>inc.</w:t>
      </w:r>
      <w:proofErr w:type="spellEnd"/>
      <w:r w:rsidRPr="00B143DA">
        <w:rPr>
          <w:rFonts w:ascii="Century Gothic" w:hAnsi="Century Gothic" w:cstheme="minorHAnsi"/>
          <w:bCs/>
          <w:sz w:val="18"/>
          <w:szCs w:val="18"/>
          <w:lang w:val="fr-FR"/>
        </w:rPr>
        <w:t xml:space="preserve"> Les offres et rabais peuvent être modifiés sans préavis. Les clauses et modalités relatives aux protections décrites sont précisées au contrat d’assurance, lequel prévaut en tout temps.</w:t>
      </w:r>
    </w:p>
    <w:p w:rsidR="00B143DA" w:rsidRPr="00B143DA" w:rsidRDefault="00B143DA" w:rsidP="00B143DA">
      <w:pPr>
        <w:tabs>
          <w:tab w:val="center" w:pos="4680"/>
        </w:tabs>
        <w:spacing w:after="0"/>
        <w:rPr>
          <w:rFonts w:ascii="Century Gothic" w:hAnsi="Century Gothic" w:cstheme="minorHAnsi"/>
          <w:bCs/>
          <w:sz w:val="18"/>
          <w:szCs w:val="18"/>
          <w:lang w:val="fr-FR"/>
        </w:rPr>
      </w:pPr>
      <w:r w:rsidRPr="00B143DA">
        <w:rPr>
          <w:rFonts w:ascii="Century Gothic" w:hAnsi="Century Gothic" w:cstheme="minorHAnsi"/>
          <w:bCs/>
          <w:sz w:val="18"/>
          <w:szCs w:val="18"/>
          <w:lang w:val="fr-FR"/>
        </w:rPr>
        <w:t>* Statistique de Desjardins Groupe d’assurances générales concernant les pertes d’assurance habitation calculées sur une base annualisée de 2014 à 2016.</w:t>
      </w:r>
    </w:p>
    <w:p w:rsidR="0000559B" w:rsidRPr="00B143DA" w:rsidRDefault="00B143DA" w:rsidP="00B143DA">
      <w:pPr>
        <w:tabs>
          <w:tab w:val="center" w:pos="4680"/>
        </w:tabs>
        <w:spacing w:after="0"/>
        <w:rPr>
          <w:rFonts w:ascii="Century Gothic" w:hAnsi="Century Gothic" w:cstheme="minorHAnsi"/>
          <w:bCs/>
          <w:sz w:val="18"/>
          <w:szCs w:val="18"/>
          <w:lang w:val="fr-FR"/>
        </w:rPr>
      </w:pPr>
      <w:r w:rsidRPr="00B143DA">
        <w:rPr>
          <w:rFonts w:ascii="Century Gothic" w:hAnsi="Century Gothic" w:cstheme="minorHAnsi"/>
          <w:bCs/>
          <w:sz w:val="18"/>
          <w:szCs w:val="18"/>
          <w:lang w:val="fr-FR"/>
        </w:rPr>
        <w:t>1.</w:t>
      </w:r>
      <w:r>
        <w:rPr>
          <w:rFonts w:ascii="Century Gothic" w:hAnsi="Century Gothic" w:cstheme="minorHAnsi"/>
          <w:bCs/>
          <w:sz w:val="18"/>
          <w:szCs w:val="18"/>
          <w:lang w:val="fr-FR"/>
        </w:rPr>
        <w:t xml:space="preserve"> </w:t>
      </w:r>
      <w:r w:rsidRPr="00B143DA">
        <w:rPr>
          <w:rFonts w:ascii="Century Gothic" w:hAnsi="Century Gothic" w:cstheme="minorHAnsi"/>
          <w:bCs/>
          <w:sz w:val="18"/>
          <w:szCs w:val="18"/>
          <w:lang w:val="fr-FR"/>
        </w:rPr>
        <w:tab/>
        <w:t>Le montant des économies n’est pas garanti et varie en fonction des renseignements fournis lors de la souscription.</w:t>
      </w:r>
    </w:p>
    <w:sectPr w:rsidR="0000559B" w:rsidRPr="00B143DA" w:rsidSect="0021283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CE"/>
    <w:rsid w:val="0000559B"/>
    <w:rsid w:val="000840F2"/>
    <w:rsid w:val="000D2F0E"/>
    <w:rsid w:val="000E51B5"/>
    <w:rsid w:val="00212835"/>
    <w:rsid w:val="00294F01"/>
    <w:rsid w:val="002A68D4"/>
    <w:rsid w:val="002F7D2A"/>
    <w:rsid w:val="00316F0D"/>
    <w:rsid w:val="003748B4"/>
    <w:rsid w:val="003C0627"/>
    <w:rsid w:val="003F5536"/>
    <w:rsid w:val="00467DA2"/>
    <w:rsid w:val="0051767E"/>
    <w:rsid w:val="005225E7"/>
    <w:rsid w:val="00526A45"/>
    <w:rsid w:val="00552DE1"/>
    <w:rsid w:val="005752E3"/>
    <w:rsid w:val="005A581C"/>
    <w:rsid w:val="005C3647"/>
    <w:rsid w:val="00641AB7"/>
    <w:rsid w:val="00717201"/>
    <w:rsid w:val="00724527"/>
    <w:rsid w:val="007418C5"/>
    <w:rsid w:val="007955CE"/>
    <w:rsid w:val="007B6BC8"/>
    <w:rsid w:val="007C3111"/>
    <w:rsid w:val="007C56E7"/>
    <w:rsid w:val="00822F01"/>
    <w:rsid w:val="00896D09"/>
    <w:rsid w:val="008A0378"/>
    <w:rsid w:val="008E2745"/>
    <w:rsid w:val="008E7C44"/>
    <w:rsid w:val="00907FAD"/>
    <w:rsid w:val="009764AA"/>
    <w:rsid w:val="00A0382E"/>
    <w:rsid w:val="00A26EB0"/>
    <w:rsid w:val="00A8342A"/>
    <w:rsid w:val="00AA065E"/>
    <w:rsid w:val="00AB091C"/>
    <w:rsid w:val="00AC01A1"/>
    <w:rsid w:val="00AE3E8F"/>
    <w:rsid w:val="00B143DA"/>
    <w:rsid w:val="00B37C16"/>
    <w:rsid w:val="00B81F71"/>
    <w:rsid w:val="00BA490F"/>
    <w:rsid w:val="00C61CCA"/>
    <w:rsid w:val="00CF289F"/>
    <w:rsid w:val="00D042E3"/>
    <w:rsid w:val="00D3055C"/>
    <w:rsid w:val="00D37152"/>
    <w:rsid w:val="00D42AA6"/>
    <w:rsid w:val="00D62406"/>
    <w:rsid w:val="00E25434"/>
    <w:rsid w:val="00E62BD9"/>
    <w:rsid w:val="00EE1352"/>
    <w:rsid w:val="00EE3ABA"/>
    <w:rsid w:val="00EF274F"/>
    <w:rsid w:val="00F02501"/>
    <w:rsid w:val="00F35F91"/>
    <w:rsid w:val="00FA31BD"/>
    <w:rsid w:val="00FC214C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2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F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F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EE3AB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2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F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F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EE3AB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apersonnelle.com/promo/campagne-assurance-habitation?grp=fcfdu&amp;campaign=lf87881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personnelle.com/promo/campagne-assurance-habitation?grp=fcfdu&amp;campaign=lf878813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apersonnelle.com/assurance-habitation/alerte?grp=fcfdu&amp;campaign=lf8788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personnelle.com/assurance-habitation/protections-complementaires?grp=fcfdu&amp;campaign=lf8788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C892-E9D9-4F0A-96DD-907070B0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Mouvement des caisses Desjardins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Novello</dc:creator>
  <cp:lastModifiedBy>Nicole Dim</cp:lastModifiedBy>
  <cp:revision>3</cp:revision>
  <dcterms:created xsi:type="dcterms:W3CDTF">2018-06-26T12:48:00Z</dcterms:created>
  <dcterms:modified xsi:type="dcterms:W3CDTF">2018-06-26T12:50:00Z</dcterms:modified>
</cp:coreProperties>
</file>